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A0" w:firstRow="1" w:lastRow="0" w:firstColumn="1" w:lastColumn="0" w:noHBand="0" w:noVBand="0"/>
      </w:tblPr>
      <w:tblGrid>
        <w:gridCol w:w="3898"/>
        <w:gridCol w:w="5172"/>
      </w:tblGrid>
      <w:tr w:rsidR="00A2714C" w:rsidRPr="0074006B" w:rsidTr="00F348CF">
        <w:tc>
          <w:tcPr>
            <w:tcW w:w="3898" w:type="dxa"/>
          </w:tcPr>
          <w:p w:rsidR="00A2714C" w:rsidRPr="0074006B" w:rsidRDefault="00A2714C" w:rsidP="00A2714C">
            <w:pPr>
              <w:pStyle w:val="Cmsor1"/>
              <w:numPr>
                <w:ilvl w:val="0"/>
                <w:numId w:val="5"/>
              </w:numPr>
              <w:rPr>
                <w:rFonts w:ascii="Garamond" w:hAnsi="Garamond"/>
                <w:b w:val="0"/>
                <w:sz w:val="22"/>
                <w:szCs w:val="22"/>
              </w:rPr>
            </w:pPr>
            <w:r w:rsidRPr="0074006B">
              <w:rPr>
                <w:rFonts w:ascii="Garamond" w:hAnsi="Garamond"/>
                <w:noProof/>
                <w:sz w:val="22"/>
                <w:szCs w:val="22"/>
                <w:lang w:eastAsia="hu-HU"/>
              </w:rPr>
              <w:drawing>
                <wp:anchor distT="0" distB="0" distL="114935" distR="114935" simplePos="0" relativeHeight="251659264" behindDoc="0" locked="0" layoutInCell="1" allowOverlap="1">
                  <wp:simplePos x="0" y="0"/>
                  <wp:positionH relativeFrom="column">
                    <wp:posOffset>800100</wp:posOffset>
                  </wp:positionH>
                  <wp:positionV relativeFrom="paragraph">
                    <wp:posOffset>-114300</wp:posOffset>
                  </wp:positionV>
                  <wp:extent cx="672465" cy="914400"/>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465"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4006B">
              <w:rPr>
                <w:rFonts w:ascii="Garamond" w:hAnsi="Garamond"/>
                <w:b w:val="0"/>
                <w:sz w:val="22"/>
                <w:szCs w:val="22"/>
              </w:rPr>
              <w:t>ÁBRAHÁMHEGY KÖZSÉG</w:t>
            </w:r>
          </w:p>
        </w:tc>
        <w:tc>
          <w:tcPr>
            <w:tcW w:w="5172" w:type="dxa"/>
          </w:tcPr>
          <w:p w:rsidR="00A2714C" w:rsidRPr="0074006B" w:rsidRDefault="00A2714C" w:rsidP="00A2714C">
            <w:pPr>
              <w:pStyle w:val="Cmsor1"/>
              <w:numPr>
                <w:ilvl w:val="0"/>
                <w:numId w:val="5"/>
              </w:numPr>
              <w:rPr>
                <w:rFonts w:ascii="Garamond" w:hAnsi="Garamond"/>
                <w:b w:val="0"/>
                <w:sz w:val="22"/>
                <w:szCs w:val="22"/>
              </w:rPr>
            </w:pPr>
          </w:p>
        </w:tc>
      </w:tr>
      <w:tr w:rsidR="00A2714C" w:rsidRPr="0074006B" w:rsidTr="00F348CF">
        <w:tc>
          <w:tcPr>
            <w:tcW w:w="3898" w:type="dxa"/>
          </w:tcPr>
          <w:p w:rsidR="00A2714C" w:rsidRPr="0074006B" w:rsidRDefault="00A2714C" w:rsidP="00F348CF">
            <w:pPr>
              <w:widowControl w:val="0"/>
              <w:jc w:val="center"/>
              <w:rPr>
                <w:rFonts w:ascii="Garamond" w:hAnsi="Garamond"/>
                <w:b/>
                <w:i/>
                <w:snapToGrid w:val="0"/>
                <w:sz w:val="22"/>
                <w:szCs w:val="22"/>
              </w:rPr>
            </w:pPr>
            <w:r w:rsidRPr="0074006B">
              <w:rPr>
                <w:rFonts w:ascii="Garamond" w:hAnsi="Garamond"/>
                <w:b/>
                <w:i/>
                <w:snapToGrid w:val="0"/>
                <w:sz w:val="22"/>
                <w:szCs w:val="22"/>
              </w:rPr>
              <w:t>POLGÁRMESTERÉTŐL</w:t>
            </w:r>
          </w:p>
        </w:tc>
        <w:tc>
          <w:tcPr>
            <w:tcW w:w="5172" w:type="dxa"/>
          </w:tcPr>
          <w:p w:rsidR="00A2714C" w:rsidRPr="0074006B" w:rsidRDefault="00A2714C" w:rsidP="00F348CF">
            <w:pPr>
              <w:widowControl w:val="0"/>
              <w:jc w:val="center"/>
              <w:rPr>
                <w:rFonts w:ascii="Garamond" w:hAnsi="Garamond"/>
                <w:b/>
                <w:i/>
                <w:snapToGrid w:val="0"/>
                <w:sz w:val="22"/>
                <w:szCs w:val="22"/>
              </w:rPr>
            </w:pPr>
          </w:p>
        </w:tc>
      </w:tr>
      <w:tr w:rsidR="00A2714C" w:rsidRPr="0074006B" w:rsidTr="00F348CF">
        <w:tc>
          <w:tcPr>
            <w:tcW w:w="3898" w:type="dxa"/>
          </w:tcPr>
          <w:p w:rsidR="00A2714C" w:rsidRPr="0074006B" w:rsidRDefault="00A2714C" w:rsidP="00F348CF">
            <w:pPr>
              <w:widowControl w:val="0"/>
              <w:jc w:val="center"/>
              <w:rPr>
                <w:rFonts w:ascii="Garamond" w:hAnsi="Garamond"/>
                <w:snapToGrid w:val="0"/>
                <w:sz w:val="22"/>
                <w:szCs w:val="22"/>
              </w:rPr>
            </w:pPr>
            <w:r w:rsidRPr="0074006B">
              <w:rPr>
                <w:rFonts w:ascii="Garamond" w:hAnsi="Garamond"/>
                <w:sz w:val="22"/>
                <w:szCs w:val="22"/>
              </w:rPr>
              <w:t xml:space="preserve">8256 Ábrahámhegy, Badacsonyi út 13.    </w:t>
            </w:r>
          </w:p>
        </w:tc>
        <w:tc>
          <w:tcPr>
            <w:tcW w:w="5172" w:type="dxa"/>
          </w:tcPr>
          <w:p w:rsidR="00A2714C" w:rsidRPr="0074006B" w:rsidRDefault="00A2714C" w:rsidP="00F348CF">
            <w:pPr>
              <w:widowControl w:val="0"/>
              <w:jc w:val="center"/>
              <w:rPr>
                <w:rFonts w:ascii="Garamond" w:hAnsi="Garamond"/>
                <w:snapToGrid w:val="0"/>
                <w:sz w:val="22"/>
                <w:szCs w:val="22"/>
              </w:rPr>
            </w:pPr>
          </w:p>
        </w:tc>
      </w:tr>
      <w:tr w:rsidR="00A2714C" w:rsidRPr="0074006B" w:rsidTr="00F348CF">
        <w:tc>
          <w:tcPr>
            <w:tcW w:w="3898" w:type="dxa"/>
          </w:tcPr>
          <w:p w:rsidR="00A2714C" w:rsidRPr="0074006B" w:rsidRDefault="00A2714C" w:rsidP="00F348CF">
            <w:pPr>
              <w:widowControl w:val="0"/>
              <w:jc w:val="center"/>
              <w:rPr>
                <w:rFonts w:ascii="Garamond" w:hAnsi="Garamond"/>
                <w:sz w:val="22"/>
                <w:szCs w:val="22"/>
              </w:rPr>
            </w:pPr>
            <w:r w:rsidRPr="0074006B">
              <w:rPr>
                <w:rFonts w:ascii="Garamond" w:hAnsi="Garamond"/>
                <w:snapToGrid w:val="0"/>
                <w:sz w:val="22"/>
                <w:szCs w:val="22"/>
              </w:rPr>
              <w:t>Telefon: +36 87 471 506</w:t>
            </w:r>
          </w:p>
        </w:tc>
        <w:tc>
          <w:tcPr>
            <w:tcW w:w="5172" w:type="dxa"/>
          </w:tcPr>
          <w:p w:rsidR="00A2714C" w:rsidRPr="0074006B" w:rsidRDefault="00A2714C" w:rsidP="00F348CF">
            <w:pPr>
              <w:widowControl w:val="0"/>
              <w:jc w:val="center"/>
              <w:rPr>
                <w:rFonts w:ascii="Garamond" w:hAnsi="Garamond"/>
                <w:i/>
                <w:sz w:val="22"/>
                <w:szCs w:val="22"/>
              </w:rPr>
            </w:pPr>
          </w:p>
          <w:p w:rsidR="00A2714C" w:rsidRPr="0074006B" w:rsidRDefault="00A2714C" w:rsidP="00F348CF">
            <w:pPr>
              <w:widowControl w:val="0"/>
              <w:jc w:val="center"/>
              <w:rPr>
                <w:rFonts w:ascii="Garamond" w:hAnsi="Garamond"/>
                <w:i/>
                <w:sz w:val="22"/>
                <w:szCs w:val="22"/>
              </w:rPr>
            </w:pPr>
            <w:r w:rsidRPr="0074006B">
              <w:rPr>
                <w:rFonts w:ascii="Garamond" w:hAnsi="Garamond"/>
                <w:i/>
                <w:sz w:val="22"/>
                <w:szCs w:val="22"/>
              </w:rPr>
              <w:t>A rendelettervezetet t</w:t>
            </w:r>
            <w:r w:rsidRPr="0074006B">
              <w:rPr>
                <w:rFonts w:ascii="Garamond" w:hAnsi="Garamond" w:cs="Baskerville Old Face"/>
                <w:i/>
                <w:sz w:val="22"/>
                <w:szCs w:val="22"/>
              </w:rPr>
              <w:t>ö</w:t>
            </w:r>
            <w:r w:rsidRPr="0074006B">
              <w:rPr>
                <w:rFonts w:ascii="Garamond" w:hAnsi="Garamond"/>
                <w:i/>
                <w:sz w:val="22"/>
                <w:szCs w:val="22"/>
              </w:rPr>
              <w:t>rv</w:t>
            </w:r>
            <w:r w:rsidRPr="0074006B">
              <w:rPr>
                <w:rFonts w:ascii="Garamond" w:hAnsi="Garamond" w:cs="Baskerville Old Face"/>
                <w:i/>
                <w:sz w:val="22"/>
                <w:szCs w:val="22"/>
              </w:rPr>
              <w:t>é</w:t>
            </w:r>
            <w:r w:rsidRPr="0074006B">
              <w:rPr>
                <w:rFonts w:ascii="Garamond" w:hAnsi="Garamond"/>
                <w:i/>
                <w:sz w:val="22"/>
                <w:szCs w:val="22"/>
              </w:rPr>
              <w:t>nyess</w:t>
            </w:r>
            <w:r w:rsidRPr="0074006B">
              <w:rPr>
                <w:rFonts w:ascii="Garamond" w:hAnsi="Garamond" w:cs="Baskerville Old Face"/>
                <w:i/>
                <w:sz w:val="22"/>
                <w:szCs w:val="22"/>
              </w:rPr>
              <w:t>é</w:t>
            </w:r>
            <w:r w:rsidRPr="0074006B">
              <w:rPr>
                <w:rFonts w:ascii="Garamond" w:hAnsi="Garamond"/>
                <w:i/>
                <w:sz w:val="22"/>
                <w:szCs w:val="22"/>
              </w:rPr>
              <w:t>gi szempontb</w:t>
            </w:r>
            <w:r w:rsidRPr="0074006B">
              <w:rPr>
                <w:rFonts w:ascii="Garamond" w:hAnsi="Garamond" w:cs="Baskerville Old Face"/>
                <w:i/>
                <w:sz w:val="22"/>
                <w:szCs w:val="22"/>
              </w:rPr>
              <w:t>ó</w:t>
            </w:r>
            <w:r w:rsidRPr="0074006B">
              <w:rPr>
                <w:rFonts w:ascii="Garamond" w:hAnsi="Garamond"/>
                <w:i/>
                <w:sz w:val="22"/>
                <w:szCs w:val="22"/>
              </w:rPr>
              <w:t>l megvizsg</w:t>
            </w:r>
            <w:r w:rsidRPr="0074006B">
              <w:rPr>
                <w:rFonts w:ascii="Garamond" w:hAnsi="Garamond" w:cs="Baskerville Old Face"/>
                <w:i/>
                <w:sz w:val="22"/>
                <w:szCs w:val="22"/>
              </w:rPr>
              <w:t>á</w:t>
            </w:r>
            <w:r w:rsidRPr="0074006B">
              <w:rPr>
                <w:rFonts w:ascii="Garamond" w:hAnsi="Garamond"/>
                <w:i/>
                <w:sz w:val="22"/>
                <w:szCs w:val="22"/>
              </w:rPr>
              <w:t>ltam:</w:t>
            </w:r>
          </w:p>
          <w:p w:rsidR="00A2714C" w:rsidRPr="0074006B" w:rsidRDefault="00A2714C" w:rsidP="00F348CF">
            <w:pPr>
              <w:widowControl w:val="0"/>
              <w:jc w:val="center"/>
              <w:rPr>
                <w:rFonts w:ascii="Garamond" w:hAnsi="Garamond"/>
                <w:sz w:val="22"/>
                <w:szCs w:val="22"/>
              </w:rPr>
            </w:pPr>
            <w:r w:rsidRPr="0074006B">
              <w:rPr>
                <w:rFonts w:ascii="Garamond" w:hAnsi="Garamond"/>
                <w:i/>
                <w:sz w:val="22"/>
                <w:szCs w:val="22"/>
              </w:rPr>
              <w:t>Wolf Viktória jegyző</w:t>
            </w:r>
          </w:p>
        </w:tc>
      </w:tr>
    </w:tbl>
    <w:p w:rsidR="00A2714C" w:rsidRPr="0074006B" w:rsidRDefault="00A2714C" w:rsidP="00A2714C">
      <w:pPr>
        <w:widowControl w:val="0"/>
        <w:rPr>
          <w:rFonts w:ascii="Garamond" w:hAnsi="Garamond"/>
          <w:snapToGrid w:val="0"/>
          <w:sz w:val="22"/>
          <w:szCs w:val="22"/>
        </w:rPr>
      </w:pPr>
      <w:r w:rsidRPr="0074006B">
        <w:rPr>
          <w:rFonts w:ascii="Garamond" w:hAnsi="Garamond"/>
          <w:snapToGrid w:val="0"/>
          <w:sz w:val="22"/>
          <w:szCs w:val="22"/>
        </w:rPr>
        <w:t xml:space="preserve">           </w:t>
      </w:r>
    </w:p>
    <w:p w:rsidR="00A2714C" w:rsidRPr="0074006B" w:rsidRDefault="00A2714C" w:rsidP="00A2714C">
      <w:pPr>
        <w:keepNext/>
        <w:jc w:val="center"/>
        <w:outlineLvl w:val="0"/>
        <w:rPr>
          <w:rFonts w:ascii="Garamond" w:hAnsi="Garamond"/>
          <w:b/>
          <w:sz w:val="22"/>
          <w:szCs w:val="22"/>
          <w:u w:val="single"/>
        </w:rPr>
      </w:pPr>
      <w:r w:rsidRPr="0074006B">
        <w:rPr>
          <w:rFonts w:ascii="Garamond" w:hAnsi="Garamond"/>
          <w:b/>
          <w:sz w:val="22"/>
          <w:szCs w:val="22"/>
          <w:u w:val="single"/>
        </w:rPr>
        <w:t>ELŐTERJESZT</w:t>
      </w:r>
      <w:r w:rsidRPr="0074006B">
        <w:rPr>
          <w:rFonts w:ascii="Garamond" w:hAnsi="Garamond" w:cs="Baskerville Old Face"/>
          <w:b/>
          <w:sz w:val="22"/>
          <w:szCs w:val="22"/>
          <w:u w:val="single"/>
        </w:rPr>
        <w:t>É</w:t>
      </w:r>
      <w:r w:rsidRPr="0074006B">
        <w:rPr>
          <w:rFonts w:ascii="Garamond" w:hAnsi="Garamond"/>
          <w:b/>
          <w:sz w:val="22"/>
          <w:szCs w:val="22"/>
          <w:u w:val="single"/>
        </w:rPr>
        <w:t>S</w:t>
      </w:r>
    </w:p>
    <w:p w:rsidR="00A2714C" w:rsidRPr="0074006B" w:rsidRDefault="00A2714C" w:rsidP="00A2714C">
      <w:pPr>
        <w:jc w:val="center"/>
        <w:rPr>
          <w:rFonts w:ascii="Garamond" w:hAnsi="Garamond"/>
          <w:b/>
          <w:sz w:val="22"/>
          <w:szCs w:val="22"/>
        </w:rPr>
      </w:pPr>
      <w:r w:rsidRPr="0074006B">
        <w:rPr>
          <w:rFonts w:ascii="Garamond" w:hAnsi="Garamond"/>
          <w:b/>
          <w:sz w:val="22"/>
          <w:szCs w:val="22"/>
        </w:rPr>
        <w:t xml:space="preserve">Ábrahámhegy Község Önkormányzata Képviselő-testületének  </w:t>
      </w:r>
    </w:p>
    <w:p w:rsidR="00A2714C" w:rsidRPr="0074006B" w:rsidRDefault="00A2714C" w:rsidP="00A2714C">
      <w:pPr>
        <w:jc w:val="center"/>
        <w:rPr>
          <w:rFonts w:ascii="Garamond" w:hAnsi="Garamond"/>
          <w:b/>
          <w:sz w:val="22"/>
          <w:szCs w:val="22"/>
        </w:rPr>
      </w:pPr>
      <w:r w:rsidRPr="0074006B">
        <w:rPr>
          <w:rFonts w:ascii="Garamond" w:hAnsi="Garamond"/>
          <w:b/>
          <w:sz w:val="22"/>
          <w:szCs w:val="22"/>
        </w:rPr>
        <w:t xml:space="preserve">2015. november 26-i </w:t>
      </w:r>
      <w:r w:rsidRPr="0074006B">
        <w:rPr>
          <w:rFonts w:ascii="Garamond" w:hAnsi="Garamond"/>
          <w:b/>
          <w:i/>
          <w:sz w:val="22"/>
          <w:szCs w:val="22"/>
        </w:rPr>
        <w:t>soron következő nyílt</w:t>
      </w:r>
      <w:r w:rsidRPr="0074006B">
        <w:rPr>
          <w:rFonts w:ascii="Garamond" w:hAnsi="Garamond"/>
          <w:b/>
          <w:sz w:val="22"/>
          <w:szCs w:val="22"/>
        </w:rPr>
        <w:t xml:space="preserve"> ülésére</w:t>
      </w:r>
    </w:p>
    <w:p w:rsidR="00A2714C" w:rsidRPr="0074006B" w:rsidRDefault="00A2714C" w:rsidP="00A2714C">
      <w:pPr>
        <w:jc w:val="center"/>
        <w:rPr>
          <w:rFonts w:ascii="Garamond" w:hAnsi="Garamond"/>
          <w:b/>
          <w:sz w:val="22"/>
          <w:szCs w:val="22"/>
        </w:rPr>
      </w:pPr>
    </w:p>
    <w:tbl>
      <w:tblPr>
        <w:tblW w:w="0" w:type="auto"/>
        <w:tblInd w:w="108" w:type="dxa"/>
        <w:tblLook w:val="01E0" w:firstRow="1" w:lastRow="1" w:firstColumn="1" w:lastColumn="1" w:noHBand="0" w:noVBand="0"/>
      </w:tblPr>
      <w:tblGrid>
        <w:gridCol w:w="1612"/>
        <w:gridCol w:w="7352"/>
      </w:tblGrid>
      <w:tr w:rsidR="00A2714C" w:rsidRPr="0074006B" w:rsidTr="00F348CF">
        <w:tc>
          <w:tcPr>
            <w:tcW w:w="1620" w:type="dxa"/>
          </w:tcPr>
          <w:p w:rsidR="00A2714C" w:rsidRPr="0074006B" w:rsidRDefault="00A2714C" w:rsidP="00F348CF">
            <w:pPr>
              <w:rPr>
                <w:rFonts w:ascii="Garamond" w:hAnsi="Garamond"/>
                <w:b/>
                <w:sz w:val="22"/>
                <w:szCs w:val="22"/>
                <w:u w:val="single"/>
              </w:rPr>
            </w:pPr>
            <w:r w:rsidRPr="0074006B">
              <w:rPr>
                <w:rFonts w:ascii="Garamond" w:hAnsi="Garamond"/>
                <w:b/>
                <w:sz w:val="22"/>
                <w:szCs w:val="22"/>
                <w:u w:val="single"/>
              </w:rPr>
              <w:t>Tárgy:</w:t>
            </w:r>
          </w:p>
        </w:tc>
        <w:tc>
          <w:tcPr>
            <w:tcW w:w="7559" w:type="dxa"/>
          </w:tcPr>
          <w:p w:rsidR="00A2714C" w:rsidRPr="0074006B" w:rsidRDefault="00A2714C" w:rsidP="00A2714C">
            <w:pPr>
              <w:rPr>
                <w:rFonts w:ascii="Garamond" w:hAnsi="Garamond"/>
                <w:b/>
                <w:sz w:val="22"/>
                <w:szCs w:val="22"/>
              </w:rPr>
            </w:pPr>
            <w:r w:rsidRPr="0074006B">
              <w:rPr>
                <w:rFonts w:ascii="Garamond" w:hAnsi="Garamond"/>
                <w:sz w:val="22"/>
                <w:szCs w:val="22"/>
              </w:rPr>
              <w:t>A helyi adókról szóló 9/2014.(X.08.) önkormányzati rendelet módosításáról</w:t>
            </w:r>
          </w:p>
        </w:tc>
      </w:tr>
      <w:tr w:rsidR="00A2714C" w:rsidRPr="0074006B" w:rsidTr="00F348CF">
        <w:tc>
          <w:tcPr>
            <w:tcW w:w="1620" w:type="dxa"/>
          </w:tcPr>
          <w:p w:rsidR="00A2714C" w:rsidRPr="0074006B" w:rsidRDefault="00A2714C" w:rsidP="00F348CF">
            <w:pPr>
              <w:rPr>
                <w:rFonts w:ascii="Garamond" w:hAnsi="Garamond"/>
                <w:b/>
                <w:sz w:val="22"/>
                <w:szCs w:val="22"/>
                <w:u w:val="single"/>
              </w:rPr>
            </w:pPr>
            <w:r w:rsidRPr="0074006B">
              <w:rPr>
                <w:rFonts w:ascii="Garamond" w:hAnsi="Garamond"/>
                <w:b/>
                <w:sz w:val="22"/>
                <w:szCs w:val="22"/>
                <w:u w:val="single"/>
              </w:rPr>
              <w:t>Előterjesztő:</w:t>
            </w:r>
          </w:p>
        </w:tc>
        <w:tc>
          <w:tcPr>
            <w:tcW w:w="7559" w:type="dxa"/>
          </w:tcPr>
          <w:p w:rsidR="00A2714C" w:rsidRPr="0074006B" w:rsidRDefault="00A2714C" w:rsidP="00F348CF">
            <w:pPr>
              <w:rPr>
                <w:rFonts w:ascii="Garamond" w:hAnsi="Garamond"/>
                <w:b/>
                <w:sz w:val="22"/>
                <w:szCs w:val="22"/>
              </w:rPr>
            </w:pPr>
            <w:r w:rsidRPr="0074006B">
              <w:rPr>
                <w:rFonts w:ascii="Garamond" w:hAnsi="Garamond"/>
                <w:sz w:val="22"/>
                <w:szCs w:val="22"/>
              </w:rPr>
              <w:t>Vella Ferenc Zsolt polgármester</w:t>
            </w:r>
          </w:p>
        </w:tc>
      </w:tr>
      <w:tr w:rsidR="00A2714C" w:rsidRPr="0074006B" w:rsidTr="00F348CF">
        <w:tc>
          <w:tcPr>
            <w:tcW w:w="1620" w:type="dxa"/>
          </w:tcPr>
          <w:p w:rsidR="00A2714C" w:rsidRPr="0074006B" w:rsidRDefault="00A2714C" w:rsidP="00F348CF">
            <w:pPr>
              <w:rPr>
                <w:rFonts w:ascii="Garamond" w:hAnsi="Garamond"/>
                <w:b/>
                <w:sz w:val="22"/>
                <w:szCs w:val="22"/>
                <w:u w:val="single"/>
              </w:rPr>
            </w:pPr>
            <w:r w:rsidRPr="0074006B">
              <w:rPr>
                <w:rFonts w:ascii="Garamond" w:hAnsi="Garamond"/>
                <w:b/>
                <w:sz w:val="22"/>
                <w:szCs w:val="22"/>
                <w:u w:val="single"/>
              </w:rPr>
              <w:t>Elők</w:t>
            </w:r>
            <w:r w:rsidRPr="0074006B">
              <w:rPr>
                <w:rFonts w:ascii="Garamond" w:hAnsi="Garamond" w:cs="Baskerville Old Face"/>
                <w:b/>
                <w:sz w:val="22"/>
                <w:szCs w:val="22"/>
                <w:u w:val="single"/>
              </w:rPr>
              <w:t>é</w:t>
            </w:r>
            <w:r w:rsidRPr="0074006B">
              <w:rPr>
                <w:rFonts w:ascii="Garamond" w:hAnsi="Garamond"/>
                <w:b/>
                <w:sz w:val="22"/>
                <w:szCs w:val="22"/>
                <w:u w:val="single"/>
              </w:rPr>
              <w:t>sz</w:t>
            </w:r>
            <w:r w:rsidRPr="0074006B">
              <w:rPr>
                <w:rFonts w:ascii="Garamond" w:hAnsi="Garamond" w:cs="Baskerville Old Face"/>
                <w:b/>
                <w:sz w:val="22"/>
                <w:szCs w:val="22"/>
                <w:u w:val="single"/>
              </w:rPr>
              <w:t>í</w:t>
            </w:r>
            <w:r w:rsidRPr="0074006B">
              <w:rPr>
                <w:rFonts w:ascii="Garamond" w:hAnsi="Garamond"/>
                <w:b/>
                <w:sz w:val="22"/>
                <w:szCs w:val="22"/>
                <w:u w:val="single"/>
              </w:rPr>
              <w:t>tő:</w:t>
            </w:r>
          </w:p>
        </w:tc>
        <w:tc>
          <w:tcPr>
            <w:tcW w:w="7559" w:type="dxa"/>
          </w:tcPr>
          <w:p w:rsidR="00A2714C" w:rsidRPr="0074006B" w:rsidRDefault="00A2714C" w:rsidP="00F348CF">
            <w:pPr>
              <w:rPr>
                <w:rFonts w:ascii="Garamond" w:hAnsi="Garamond"/>
                <w:sz w:val="22"/>
                <w:szCs w:val="22"/>
              </w:rPr>
            </w:pPr>
            <w:r w:rsidRPr="0074006B">
              <w:rPr>
                <w:rFonts w:ascii="Garamond" w:hAnsi="Garamond"/>
                <w:sz w:val="22"/>
                <w:szCs w:val="22"/>
              </w:rPr>
              <w:t>Wolf Viktória jegyző</w:t>
            </w:r>
          </w:p>
        </w:tc>
      </w:tr>
      <w:tr w:rsidR="00A2714C" w:rsidRPr="0074006B" w:rsidTr="00F348CF">
        <w:tc>
          <w:tcPr>
            <w:tcW w:w="1620" w:type="dxa"/>
          </w:tcPr>
          <w:p w:rsidR="00A2714C" w:rsidRPr="0074006B" w:rsidRDefault="00A2714C" w:rsidP="00F348CF">
            <w:pPr>
              <w:rPr>
                <w:rFonts w:ascii="Garamond" w:hAnsi="Garamond"/>
                <w:b/>
                <w:sz w:val="22"/>
                <w:szCs w:val="22"/>
                <w:u w:val="single"/>
              </w:rPr>
            </w:pPr>
            <w:r w:rsidRPr="0074006B">
              <w:rPr>
                <w:rFonts w:ascii="Garamond" w:hAnsi="Garamond"/>
                <w:b/>
                <w:sz w:val="22"/>
                <w:szCs w:val="22"/>
                <w:u w:val="single"/>
              </w:rPr>
              <w:t>Melléklet</w:t>
            </w:r>
            <w:r w:rsidRPr="0074006B">
              <w:rPr>
                <w:rFonts w:ascii="Garamond" w:hAnsi="Garamond"/>
                <w:b/>
                <w:sz w:val="22"/>
                <w:szCs w:val="22"/>
              </w:rPr>
              <w:t>:</w:t>
            </w:r>
          </w:p>
        </w:tc>
        <w:tc>
          <w:tcPr>
            <w:tcW w:w="7559" w:type="dxa"/>
          </w:tcPr>
          <w:p w:rsidR="00A2714C" w:rsidRPr="0074006B" w:rsidRDefault="00A2714C" w:rsidP="00F348CF">
            <w:pPr>
              <w:rPr>
                <w:rFonts w:ascii="Garamond" w:hAnsi="Garamond"/>
                <w:sz w:val="22"/>
                <w:szCs w:val="22"/>
              </w:rPr>
            </w:pPr>
            <w:r w:rsidRPr="0074006B">
              <w:rPr>
                <w:rFonts w:ascii="Garamond" w:hAnsi="Garamond"/>
                <w:sz w:val="22"/>
                <w:szCs w:val="22"/>
              </w:rPr>
              <w:t>rendelettervezet</w:t>
            </w:r>
          </w:p>
        </w:tc>
      </w:tr>
      <w:tr w:rsidR="00A2714C" w:rsidRPr="0074006B" w:rsidTr="00F348CF">
        <w:tc>
          <w:tcPr>
            <w:tcW w:w="1620" w:type="dxa"/>
          </w:tcPr>
          <w:p w:rsidR="00A2714C" w:rsidRPr="0074006B" w:rsidRDefault="00A2714C" w:rsidP="00F348CF">
            <w:pPr>
              <w:rPr>
                <w:rFonts w:ascii="Garamond" w:hAnsi="Garamond"/>
                <w:b/>
                <w:sz w:val="22"/>
                <w:szCs w:val="22"/>
                <w:u w:val="single"/>
              </w:rPr>
            </w:pPr>
            <w:r w:rsidRPr="0074006B">
              <w:rPr>
                <w:rFonts w:ascii="Garamond" w:hAnsi="Garamond"/>
                <w:b/>
                <w:sz w:val="22"/>
                <w:szCs w:val="22"/>
                <w:u w:val="single"/>
              </w:rPr>
              <w:t>Meghívott</w:t>
            </w:r>
            <w:r w:rsidRPr="0074006B">
              <w:rPr>
                <w:rFonts w:ascii="Garamond" w:hAnsi="Garamond"/>
                <w:b/>
                <w:sz w:val="22"/>
                <w:szCs w:val="22"/>
              </w:rPr>
              <w:t>:</w:t>
            </w:r>
          </w:p>
        </w:tc>
        <w:tc>
          <w:tcPr>
            <w:tcW w:w="7559" w:type="dxa"/>
          </w:tcPr>
          <w:p w:rsidR="00A2714C" w:rsidRPr="0074006B" w:rsidRDefault="00A2714C" w:rsidP="00F348CF">
            <w:pPr>
              <w:rPr>
                <w:rFonts w:ascii="Garamond" w:hAnsi="Garamond"/>
                <w:sz w:val="22"/>
                <w:szCs w:val="22"/>
              </w:rPr>
            </w:pPr>
            <w:r w:rsidRPr="0074006B">
              <w:rPr>
                <w:rFonts w:ascii="Garamond" w:hAnsi="Garamond"/>
                <w:sz w:val="22"/>
                <w:szCs w:val="22"/>
              </w:rPr>
              <w:t>---</w:t>
            </w:r>
          </w:p>
        </w:tc>
      </w:tr>
      <w:tr w:rsidR="00A2714C" w:rsidRPr="0074006B" w:rsidTr="00F348CF">
        <w:tc>
          <w:tcPr>
            <w:tcW w:w="9179" w:type="dxa"/>
            <w:gridSpan w:val="2"/>
          </w:tcPr>
          <w:p w:rsidR="00A2714C" w:rsidRPr="0074006B" w:rsidRDefault="00A2714C" w:rsidP="00F348CF">
            <w:pPr>
              <w:jc w:val="both"/>
              <w:rPr>
                <w:rFonts w:ascii="Garamond" w:hAnsi="Garamond"/>
                <w:sz w:val="22"/>
                <w:szCs w:val="22"/>
              </w:rPr>
            </w:pPr>
            <w:r w:rsidRPr="0074006B">
              <w:rPr>
                <w:rFonts w:ascii="Garamond" w:hAnsi="Garamond"/>
                <w:sz w:val="22"/>
                <w:szCs w:val="22"/>
              </w:rPr>
              <w:t xml:space="preserve">A döntés meghozatala </w:t>
            </w:r>
            <w:r w:rsidRPr="0074006B">
              <w:rPr>
                <w:rFonts w:ascii="Garamond" w:hAnsi="Garamond"/>
                <w:b/>
                <w:sz w:val="22"/>
                <w:szCs w:val="22"/>
              </w:rPr>
              <w:t>minősített t</w:t>
            </w:r>
            <w:r w:rsidRPr="0074006B">
              <w:rPr>
                <w:rFonts w:ascii="Garamond" w:hAnsi="Garamond" w:cs="Baskerville Old Face"/>
                <w:b/>
                <w:sz w:val="22"/>
                <w:szCs w:val="22"/>
              </w:rPr>
              <w:t>ö</w:t>
            </w:r>
            <w:r w:rsidRPr="0074006B">
              <w:rPr>
                <w:rFonts w:ascii="Garamond" w:hAnsi="Garamond"/>
                <w:b/>
                <w:sz w:val="22"/>
                <w:szCs w:val="22"/>
              </w:rPr>
              <w:t>bbs</w:t>
            </w:r>
            <w:r w:rsidRPr="0074006B">
              <w:rPr>
                <w:rFonts w:ascii="Garamond" w:hAnsi="Garamond" w:cs="Baskerville Old Face"/>
                <w:b/>
                <w:sz w:val="22"/>
                <w:szCs w:val="22"/>
              </w:rPr>
              <w:t>é</w:t>
            </w:r>
            <w:r w:rsidRPr="0074006B">
              <w:rPr>
                <w:rFonts w:ascii="Garamond" w:hAnsi="Garamond"/>
                <w:b/>
                <w:sz w:val="22"/>
                <w:szCs w:val="22"/>
              </w:rPr>
              <w:t>get</w:t>
            </w:r>
            <w:r w:rsidRPr="0074006B">
              <w:rPr>
                <w:rFonts w:ascii="Garamond" w:hAnsi="Garamond"/>
                <w:sz w:val="22"/>
                <w:szCs w:val="22"/>
              </w:rPr>
              <w:t xml:space="preserve"> ig</w:t>
            </w:r>
            <w:r w:rsidRPr="0074006B">
              <w:rPr>
                <w:rFonts w:ascii="Garamond" w:hAnsi="Garamond" w:cs="Baskerville Old Face"/>
                <w:sz w:val="22"/>
                <w:szCs w:val="22"/>
              </w:rPr>
              <w:t>é</w:t>
            </w:r>
            <w:r w:rsidRPr="0074006B">
              <w:rPr>
                <w:rFonts w:ascii="Garamond" w:hAnsi="Garamond"/>
                <w:sz w:val="22"/>
                <w:szCs w:val="22"/>
              </w:rPr>
              <w:t>nyel.</w:t>
            </w:r>
          </w:p>
          <w:p w:rsidR="00A2714C" w:rsidRPr="0074006B" w:rsidRDefault="00A2714C" w:rsidP="00F348CF">
            <w:pPr>
              <w:jc w:val="both"/>
              <w:rPr>
                <w:rFonts w:ascii="Garamond" w:hAnsi="Garamond"/>
                <w:sz w:val="22"/>
                <w:szCs w:val="22"/>
              </w:rPr>
            </w:pPr>
          </w:p>
          <w:p w:rsidR="00A2714C" w:rsidRPr="0074006B" w:rsidRDefault="00A2714C" w:rsidP="00F348CF">
            <w:pPr>
              <w:jc w:val="both"/>
              <w:rPr>
                <w:rFonts w:ascii="Garamond" w:hAnsi="Garamond"/>
                <w:sz w:val="22"/>
                <w:szCs w:val="22"/>
              </w:rPr>
            </w:pPr>
          </w:p>
        </w:tc>
      </w:tr>
    </w:tbl>
    <w:p w:rsidR="00A04106" w:rsidRPr="0074006B" w:rsidRDefault="00A04106" w:rsidP="00A04106">
      <w:pPr>
        <w:rPr>
          <w:rFonts w:ascii="Garamond" w:hAnsi="Garamond"/>
          <w:b/>
          <w:sz w:val="22"/>
          <w:szCs w:val="22"/>
        </w:rPr>
      </w:pPr>
      <w:r w:rsidRPr="0074006B">
        <w:rPr>
          <w:rFonts w:ascii="Garamond" w:hAnsi="Garamond"/>
          <w:b/>
          <w:sz w:val="22"/>
          <w:szCs w:val="22"/>
        </w:rPr>
        <w:t>Tisztelt Képviselő-testület!</w:t>
      </w:r>
    </w:p>
    <w:p w:rsidR="00A04106" w:rsidRPr="0074006B" w:rsidRDefault="00A04106" w:rsidP="00E50BA7">
      <w:pPr>
        <w:jc w:val="both"/>
        <w:rPr>
          <w:rFonts w:ascii="Garamond" w:hAnsi="Garamond"/>
          <w:sz w:val="22"/>
          <w:szCs w:val="22"/>
        </w:rPr>
      </w:pPr>
    </w:p>
    <w:p w:rsidR="00E50BA7" w:rsidRPr="0074006B" w:rsidRDefault="00E50BA7" w:rsidP="00E50BA7">
      <w:pPr>
        <w:jc w:val="both"/>
        <w:rPr>
          <w:rFonts w:ascii="Garamond" w:hAnsi="Garamond"/>
          <w:sz w:val="22"/>
          <w:szCs w:val="22"/>
        </w:rPr>
      </w:pPr>
      <w:r w:rsidRPr="0074006B">
        <w:rPr>
          <w:rFonts w:ascii="Garamond" w:hAnsi="Garamond"/>
          <w:sz w:val="22"/>
          <w:szCs w:val="22"/>
        </w:rPr>
        <w:t>A helyi önkormányzat adóztatási tevékenységét a helyi adókról szóló 1990. évi C. törvény (továbbiakban: Htv.) alapján és keretei között megalkotott helyi rendelet alapján végezheti. Az adózás eljárási kérdéseit az adózás rendjéről szóló törvény (továbbiakban: Art.) szabályozza.</w:t>
      </w:r>
    </w:p>
    <w:p w:rsidR="00E50BA7" w:rsidRPr="0074006B" w:rsidRDefault="00E50BA7" w:rsidP="00E50BA7">
      <w:pPr>
        <w:jc w:val="both"/>
        <w:rPr>
          <w:rFonts w:ascii="Garamond" w:hAnsi="Garamond"/>
          <w:sz w:val="22"/>
          <w:szCs w:val="22"/>
        </w:rPr>
      </w:pPr>
    </w:p>
    <w:p w:rsidR="00E50BA7" w:rsidRPr="0074006B" w:rsidRDefault="00E50BA7" w:rsidP="00E50BA7">
      <w:pPr>
        <w:jc w:val="both"/>
        <w:rPr>
          <w:rFonts w:ascii="Garamond" w:hAnsi="Garamond"/>
          <w:sz w:val="22"/>
          <w:szCs w:val="22"/>
        </w:rPr>
      </w:pPr>
      <w:r w:rsidRPr="0074006B">
        <w:rPr>
          <w:rFonts w:ascii="Garamond" w:hAnsi="Garamond"/>
          <w:sz w:val="22"/>
          <w:szCs w:val="22"/>
        </w:rPr>
        <w:t>A Htv. felhatalmazása és rendelkezési szerint a települési önkormányzat rendelettel az illetékességi területén helyi adókat vezethet be. Az önkormányzat tehát jogosult, de nem köteles helyi adót működtetni. Amennyiben az önkormányzat az adóztatás mellett dönt, azaz él azzal a törvényes jogával, hogy helyi adónemet vezet be, akkor önkormányzati rendeletet, azaz jogszabályt alkot. Az önkormányzati adórendelet alkotásakor azt a módszert kell alkalmazni, hogy az önkormányzati adórendelet kizárólag csak azokat a rendelkezéseket tartalmazza, amelyek a meghatározott adónem bevezetéséhez elengedhetetlenül szükségesek. Ennek megfelelően a rendeletnek elégséges tartalmaznia az adott adónem bevezetéséről való döntést, az adó mértékét valamint a rendelet hatálybalépésének napját. Amennyiben az önkormányzat a törvényi kezdeményeket, mentességeket önkormányzati kedvezményekkel, mentességekkel kívánja bővíteni, akkor értelemszerűen erről is az adórendeletben kell rendelkezni.</w:t>
      </w:r>
    </w:p>
    <w:p w:rsidR="00E50BA7" w:rsidRPr="0074006B" w:rsidRDefault="00E50BA7" w:rsidP="00E50BA7">
      <w:pPr>
        <w:jc w:val="both"/>
        <w:rPr>
          <w:rFonts w:ascii="Garamond" w:hAnsi="Garamond"/>
          <w:sz w:val="22"/>
          <w:szCs w:val="22"/>
        </w:rPr>
      </w:pPr>
      <w:r w:rsidRPr="0074006B">
        <w:rPr>
          <w:rFonts w:ascii="Garamond" w:hAnsi="Garamond"/>
          <w:sz w:val="22"/>
          <w:szCs w:val="22"/>
        </w:rPr>
        <w:t>Természetesen a magasabb szintű jogszabály rendelkezései akkor is érvényesek, ha azt az alacsonyabb szintű jogszabály (önkormányzati rendelet) nem veszi át és nem ismétli meg.</w:t>
      </w:r>
    </w:p>
    <w:p w:rsidR="00E50BA7" w:rsidRPr="0074006B" w:rsidRDefault="00E50BA7" w:rsidP="00E50BA7">
      <w:pPr>
        <w:jc w:val="both"/>
        <w:rPr>
          <w:rFonts w:ascii="Garamond" w:hAnsi="Garamond"/>
          <w:sz w:val="22"/>
          <w:szCs w:val="22"/>
        </w:rPr>
      </w:pPr>
    </w:p>
    <w:p w:rsidR="00E50BA7" w:rsidRPr="0074006B" w:rsidRDefault="00E50BA7" w:rsidP="00E50BA7">
      <w:pPr>
        <w:overflowPunct w:val="0"/>
        <w:autoSpaceDE w:val="0"/>
        <w:autoSpaceDN w:val="0"/>
        <w:adjustRightInd w:val="0"/>
        <w:jc w:val="both"/>
        <w:textAlignment w:val="baseline"/>
        <w:rPr>
          <w:rFonts w:ascii="Garamond" w:hAnsi="Garamond"/>
          <w:sz w:val="22"/>
          <w:szCs w:val="22"/>
        </w:rPr>
      </w:pPr>
      <w:r w:rsidRPr="0074006B">
        <w:rPr>
          <w:rFonts w:ascii="Garamond" w:hAnsi="Garamond"/>
          <w:iCs/>
          <w:sz w:val="22"/>
          <w:szCs w:val="22"/>
        </w:rPr>
        <w:t xml:space="preserve">A fenti jogszabály alapján és a képviselő-testület </w:t>
      </w:r>
      <w:r w:rsidR="00A2714C" w:rsidRPr="0074006B">
        <w:rPr>
          <w:rFonts w:ascii="Garamond" w:hAnsi="Garamond"/>
          <w:iCs/>
          <w:sz w:val="22"/>
          <w:szCs w:val="22"/>
        </w:rPr>
        <w:t xml:space="preserve">előzetes </w:t>
      </w:r>
      <w:r w:rsidRPr="0074006B">
        <w:rPr>
          <w:rFonts w:ascii="Garamond" w:hAnsi="Garamond"/>
          <w:iCs/>
          <w:sz w:val="22"/>
          <w:szCs w:val="22"/>
        </w:rPr>
        <w:t xml:space="preserve">döntése értelmében </w:t>
      </w:r>
      <w:r w:rsidR="00A2714C" w:rsidRPr="0074006B">
        <w:rPr>
          <w:rFonts w:ascii="Garamond" w:hAnsi="Garamond"/>
          <w:iCs/>
          <w:sz w:val="22"/>
          <w:szCs w:val="22"/>
        </w:rPr>
        <w:t>áttekintettük</w:t>
      </w:r>
      <w:r w:rsidRPr="0074006B">
        <w:rPr>
          <w:rFonts w:ascii="Garamond" w:hAnsi="Garamond"/>
          <w:iCs/>
          <w:sz w:val="22"/>
          <w:szCs w:val="22"/>
        </w:rPr>
        <w:t xml:space="preserve"> az önkormányzat által bevezetett helyi adókról szóló rendelet, így </w:t>
      </w:r>
      <w:r w:rsidR="00A2714C" w:rsidRPr="0074006B">
        <w:rPr>
          <w:rFonts w:ascii="Garamond" w:hAnsi="Garamond"/>
          <w:sz w:val="22"/>
          <w:szCs w:val="22"/>
        </w:rPr>
        <w:t>Ábrahámhegy Község</w:t>
      </w:r>
      <w:r w:rsidRPr="0074006B">
        <w:rPr>
          <w:rFonts w:ascii="Garamond" w:hAnsi="Garamond"/>
          <w:sz w:val="22"/>
          <w:szCs w:val="22"/>
        </w:rPr>
        <w:t xml:space="preserve"> Önkormányzata Képviselő-testületének a helyi adókról szóló </w:t>
      </w:r>
      <w:r w:rsidR="00A2714C" w:rsidRPr="0074006B">
        <w:rPr>
          <w:rFonts w:ascii="Garamond" w:hAnsi="Garamond"/>
          <w:sz w:val="22"/>
          <w:szCs w:val="22"/>
        </w:rPr>
        <w:t>9/2014.(</w:t>
      </w:r>
      <w:r w:rsidRPr="0074006B">
        <w:rPr>
          <w:rFonts w:ascii="Garamond" w:hAnsi="Garamond"/>
          <w:sz w:val="22"/>
          <w:szCs w:val="22"/>
        </w:rPr>
        <w:t>X.</w:t>
      </w:r>
      <w:r w:rsidR="00A2714C" w:rsidRPr="0074006B">
        <w:rPr>
          <w:rFonts w:ascii="Garamond" w:hAnsi="Garamond"/>
          <w:sz w:val="22"/>
          <w:szCs w:val="22"/>
        </w:rPr>
        <w:t>08</w:t>
      </w:r>
      <w:r w:rsidRPr="0074006B">
        <w:rPr>
          <w:rFonts w:ascii="Garamond" w:hAnsi="Garamond"/>
          <w:sz w:val="22"/>
          <w:szCs w:val="22"/>
        </w:rPr>
        <w:t>.) önkormányzati rendeletét.</w:t>
      </w:r>
    </w:p>
    <w:p w:rsidR="00E50BA7" w:rsidRPr="0074006B" w:rsidRDefault="00E50BA7" w:rsidP="00E50BA7">
      <w:pPr>
        <w:overflowPunct w:val="0"/>
        <w:autoSpaceDE w:val="0"/>
        <w:autoSpaceDN w:val="0"/>
        <w:adjustRightInd w:val="0"/>
        <w:jc w:val="both"/>
        <w:textAlignment w:val="baseline"/>
        <w:rPr>
          <w:rFonts w:ascii="Garamond" w:hAnsi="Garamond"/>
          <w:sz w:val="22"/>
          <w:szCs w:val="22"/>
        </w:rPr>
      </w:pPr>
    </w:p>
    <w:p w:rsidR="00E50BA7" w:rsidRPr="0074006B" w:rsidRDefault="00E50BA7" w:rsidP="0074006B">
      <w:pPr>
        <w:overflowPunct w:val="0"/>
        <w:autoSpaceDE w:val="0"/>
        <w:autoSpaceDN w:val="0"/>
        <w:adjustRightInd w:val="0"/>
        <w:jc w:val="both"/>
        <w:textAlignment w:val="baseline"/>
        <w:rPr>
          <w:rFonts w:ascii="Garamond" w:hAnsi="Garamond"/>
          <w:sz w:val="22"/>
          <w:szCs w:val="22"/>
        </w:rPr>
      </w:pPr>
      <w:r w:rsidRPr="0074006B">
        <w:rPr>
          <w:rFonts w:ascii="Garamond" w:hAnsi="Garamond" w:cs="Consolas"/>
          <w:iCs/>
          <w:sz w:val="22"/>
          <w:szCs w:val="22"/>
        </w:rPr>
        <w:t>Az előzetes döntések értelmében jelen esetben kezdeményez</w:t>
      </w:r>
      <w:r w:rsidR="00A2714C" w:rsidRPr="0074006B">
        <w:rPr>
          <w:rFonts w:ascii="Garamond" w:hAnsi="Garamond" w:cs="Consolas"/>
          <w:iCs/>
          <w:sz w:val="22"/>
          <w:szCs w:val="22"/>
        </w:rPr>
        <w:t>em a telekadó vonatkozásában</w:t>
      </w:r>
      <w:r w:rsidR="0074006B">
        <w:rPr>
          <w:rFonts w:ascii="Garamond" w:hAnsi="Garamond" w:cs="Consolas"/>
          <w:iCs/>
          <w:sz w:val="22"/>
          <w:szCs w:val="22"/>
        </w:rPr>
        <w:t xml:space="preserve"> a mentességi körök módosítását.</w:t>
      </w:r>
    </w:p>
    <w:p w:rsidR="0074006B" w:rsidRDefault="0074006B" w:rsidP="00E50BA7">
      <w:pPr>
        <w:jc w:val="both"/>
        <w:rPr>
          <w:rFonts w:ascii="Garamond" w:hAnsi="Garamond"/>
          <w:sz w:val="22"/>
          <w:szCs w:val="22"/>
        </w:rPr>
      </w:pPr>
      <w:bookmarkStart w:id="0" w:name="pr2"/>
      <w:bookmarkEnd w:id="0"/>
    </w:p>
    <w:p w:rsidR="00E50BA7" w:rsidRPr="0074006B" w:rsidRDefault="00E50BA7" w:rsidP="00E50BA7">
      <w:pPr>
        <w:jc w:val="both"/>
        <w:rPr>
          <w:rFonts w:ascii="Garamond" w:hAnsi="Garamond"/>
          <w:sz w:val="22"/>
          <w:szCs w:val="22"/>
        </w:rPr>
      </w:pPr>
      <w:r w:rsidRPr="0074006B">
        <w:rPr>
          <w:rFonts w:ascii="Garamond" w:hAnsi="Garamond"/>
          <w:sz w:val="22"/>
          <w:szCs w:val="22"/>
        </w:rPr>
        <w:t>A helyi rendelet évenkénti felülvizsgálata, esetleges módosítása a következő szabályok alapján lehetséges:</w:t>
      </w:r>
    </w:p>
    <w:p w:rsidR="00E50BA7" w:rsidRPr="0074006B" w:rsidRDefault="00E50BA7" w:rsidP="00E50BA7">
      <w:pPr>
        <w:jc w:val="both"/>
        <w:rPr>
          <w:rFonts w:ascii="Garamond" w:hAnsi="Garamond"/>
          <w:sz w:val="22"/>
          <w:szCs w:val="22"/>
        </w:rPr>
      </w:pPr>
    </w:p>
    <w:p w:rsidR="00E50BA7" w:rsidRPr="0074006B" w:rsidRDefault="00E50BA7" w:rsidP="00E50BA7">
      <w:pPr>
        <w:jc w:val="both"/>
        <w:rPr>
          <w:rFonts w:ascii="Garamond" w:hAnsi="Garamond" w:cs="Consolas"/>
          <w:sz w:val="22"/>
          <w:szCs w:val="22"/>
        </w:rPr>
      </w:pPr>
      <w:r w:rsidRPr="0074006B">
        <w:rPr>
          <w:rFonts w:ascii="Garamond" w:hAnsi="Garamond" w:cs="Consolas"/>
          <w:iCs/>
          <w:sz w:val="22"/>
          <w:szCs w:val="22"/>
        </w:rPr>
        <w:t xml:space="preserve">Magyarország gazdasági stabilitásáról szóló 2011. évi CXCIV. törvény 32.§-a szerint adókötelezettséget megállapító, az adóalanyok körét bővítő, az adó mértékét növelő, illetve kedvezményt, mentességet megszüntető jogszabály kihirdetése és hatályba lépése között legalább 30 napnak kell eltelnie. Ezen rendelkezés az önkormányzati adórendeletre is vonatkozik, ami azt jelenti, hogy valamely adóév január 1. </w:t>
      </w:r>
      <w:r w:rsidRPr="0074006B">
        <w:rPr>
          <w:rFonts w:ascii="Garamond" w:hAnsi="Garamond" w:cs="Consolas"/>
          <w:iCs/>
          <w:sz w:val="22"/>
          <w:szCs w:val="22"/>
        </w:rPr>
        <w:lastRenderedPageBreak/>
        <w:t>napján hatályba léptetni szándékozó új adónemet bevezető vagy a hatályos szabályozást (pl.: adómérték tekintetében) módosító adórendelet legkorábban a kihirdetést követő 31. napon léptethető hatályba.</w:t>
      </w:r>
    </w:p>
    <w:p w:rsidR="00E50BA7" w:rsidRPr="0074006B" w:rsidRDefault="00E50BA7" w:rsidP="00E50BA7">
      <w:pPr>
        <w:jc w:val="both"/>
        <w:rPr>
          <w:rFonts w:ascii="Garamond" w:hAnsi="Garamond" w:cs="Consolas"/>
          <w:sz w:val="22"/>
          <w:szCs w:val="22"/>
        </w:rPr>
      </w:pPr>
    </w:p>
    <w:p w:rsidR="00E50BA7" w:rsidRPr="0074006B" w:rsidRDefault="00E50BA7" w:rsidP="00E50BA7">
      <w:pPr>
        <w:jc w:val="both"/>
        <w:rPr>
          <w:rFonts w:ascii="Garamond" w:hAnsi="Garamond" w:cs="Consolas"/>
          <w:i/>
          <w:sz w:val="22"/>
          <w:szCs w:val="22"/>
        </w:rPr>
      </w:pPr>
      <w:r w:rsidRPr="0074006B">
        <w:rPr>
          <w:rFonts w:ascii="Garamond" w:hAnsi="Garamond" w:cs="Consolas"/>
          <w:sz w:val="22"/>
          <w:szCs w:val="22"/>
        </w:rPr>
        <w:t xml:space="preserve">A január 1-jei hatálybalépés a Hatv. 6. § a) pontjában meghatározott adóterhek évközi súlyosbításának tilalmához kapcsolódik: </w:t>
      </w:r>
      <w:r w:rsidRPr="0074006B">
        <w:rPr>
          <w:rFonts w:ascii="Garamond" w:hAnsi="Garamond" w:cs="Consolas"/>
          <w:i/>
          <w:sz w:val="22"/>
          <w:szCs w:val="22"/>
        </w:rPr>
        <w:t>„Az önkormányzat adómegállapítási joga arra terjed ki, hogy az 5. §-ban meghatározott adókat vagy ezek valamelyikét bevezesse, a már bevezetett adót hatályon kívül helyezze, illetőleg módosítsa, azonban az évközi módosítás naptári éven belül nem súlyosbíthatja az adóalanyok adóterheit.”</w:t>
      </w:r>
    </w:p>
    <w:p w:rsidR="00E50BA7" w:rsidRPr="0074006B" w:rsidRDefault="00E50BA7" w:rsidP="00E50BA7">
      <w:pPr>
        <w:jc w:val="both"/>
        <w:rPr>
          <w:rFonts w:ascii="Garamond" w:hAnsi="Garamond" w:cs="Consolas"/>
          <w:sz w:val="22"/>
          <w:szCs w:val="22"/>
        </w:rPr>
      </w:pPr>
    </w:p>
    <w:p w:rsidR="00E50BA7" w:rsidRPr="0074006B" w:rsidRDefault="00E50BA7" w:rsidP="00E50BA7">
      <w:pPr>
        <w:jc w:val="both"/>
        <w:rPr>
          <w:rFonts w:ascii="Garamond" w:hAnsi="Garamond" w:cs="Consolas"/>
          <w:sz w:val="22"/>
          <w:szCs w:val="22"/>
        </w:rPr>
      </w:pPr>
      <w:r w:rsidRPr="0074006B">
        <w:rPr>
          <w:rFonts w:ascii="Garamond" w:hAnsi="Garamond" w:cs="Consolas"/>
          <w:sz w:val="22"/>
          <w:szCs w:val="22"/>
        </w:rPr>
        <w:t xml:space="preserve">A jogszabályhely alapján, az adórendelet év közbeni módosítása éven belül nem súlyosbíthatja az adóalanyok adóterheit, tehát az ilyen rendeletmódosítások csak naptári éven túl, azaz új évvel (január 1.) végezhetők el. Tekintettel arra, hogy a törvény kifejezetten a módosításról szól, az új adó bevezetésére ez a tilalom nem vonatkozik, ezért a </w:t>
      </w:r>
      <w:r w:rsidRPr="0074006B">
        <w:rPr>
          <w:rFonts w:ascii="Garamond" w:hAnsi="Garamond" w:cs="Consolas"/>
          <w:iCs/>
          <w:sz w:val="22"/>
          <w:szCs w:val="22"/>
        </w:rPr>
        <w:t xml:space="preserve">2011. évi CXCIV. törvény </w:t>
      </w:r>
      <w:r w:rsidRPr="0074006B">
        <w:rPr>
          <w:rFonts w:ascii="Garamond" w:hAnsi="Garamond" w:cs="Consolas"/>
          <w:sz w:val="22"/>
          <w:szCs w:val="22"/>
        </w:rPr>
        <w:t xml:space="preserve">szerinti 30 nap az irányadó. </w:t>
      </w:r>
    </w:p>
    <w:p w:rsidR="00E50BA7" w:rsidRPr="0074006B" w:rsidRDefault="00E50BA7" w:rsidP="00E50BA7">
      <w:pPr>
        <w:jc w:val="both"/>
        <w:rPr>
          <w:rFonts w:ascii="Garamond" w:hAnsi="Garamond" w:cs="Consolas"/>
          <w:sz w:val="22"/>
          <w:szCs w:val="22"/>
        </w:rPr>
      </w:pPr>
    </w:p>
    <w:p w:rsidR="00E50BA7" w:rsidRPr="0074006B" w:rsidRDefault="00E50BA7" w:rsidP="00E50BA7">
      <w:pPr>
        <w:jc w:val="both"/>
        <w:rPr>
          <w:rFonts w:ascii="Garamond" w:hAnsi="Garamond"/>
          <w:sz w:val="22"/>
          <w:szCs w:val="22"/>
        </w:rPr>
      </w:pPr>
      <w:r w:rsidRPr="0074006B">
        <w:rPr>
          <w:rFonts w:ascii="Garamond" w:hAnsi="Garamond"/>
          <w:sz w:val="22"/>
          <w:szCs w:val="22"/>
        </w:rPr>
        <w:t>A súlyosbítási tilalom vonatkozik azonban arra az esetre, ha a módosítás a meglévő mentességek, kedvezmények körének szűkítésére, megszüntetésére irányul.</w:t>
      </w:r>
    </w:p>
    <w:p w:rsidR="00E50BA7" w:rsidRPr="0074006B" w:rsidRDefault="00E50BA7" w:rsidP="00E50BA7">
      <w:pPr>
        <w:pStyle w:val="NormlWeb"/>
        <w:spacing w:before="0" w:beforeAutospacing="0" w:after="0" w:afterAutospacing="0"/>
        <w:ind w:right="150"/>
        <w:jc w:val="both"/>
        <w:rPr>
          <w:rFonts w:ascii="Garamond" w:hAnsi="Garamond"/>
          <w:bCs/>
          <w:sz w:val="22"/>
          <w:szCs w:val="22"/>
        </w:rPr>
      </w:pPr>
    </w:p>
    <w:p w:rsidR="00E50BA7" w:rsidRPr="0074006B" w:rsidRDefault="00E50BA7" w:rsidP="00E50BA7">
      <w:pPr>
        <w:pStyle w:val="NormlWeb"/>
        <w:spacing w:before="0" w:beforeAutospacing="0" w:after="0" w:afterAutospacing="0"/>
        <w:ind w:right="150"/>
        <w:jc w:val="both"/>
        <w:rPr>
          <w:rFonts w:ascii="Garamond" w:hAnsi="Garamond"/>
          <w:bCs/>
          <w:sz w:val="22"/>
          <w:szCs w:val="22"/>
        </w:rPr>
      </w:pPr>
      <w:r w:rsidRPr="0074006B">
        <w:rPr>
          <w:rFonts w:ascii="Garamond" w:hAnsi="Garamond"/>
          <w:bCs/>
          <w:sz w:val="22"/>
          <w:szCs w:val="22"/>
        </w:rPr>
        <w:t>A fentiek alapján elkészítettük az önkormányzati rendelet módosítását, mely jelen előterjesztés mellékletét képezi.</w:t>
      </w:r>
    </w:p>
    <w:p w:rsidR="00E50BA7" w:rsidRPr="0074006B" w:rsidRDefault="00E50BA7" w:rsidP="00E50BA7">
      <w:pPr>
        <w:pStyle w:val="NormlWeb"/>
        <w:spacing w:before="0" w:beforeAutospacing="0" w:after="0" w:afterAutospacing="0"/>
        <w:ind w:right="150"/>
        <w:jc w:val="both"/>
        <w:rPr>
          <w:rFonts w:ascii="Garamond" w:hAnsi="Garamond"/>
          <w:bCs/>
          <w:sz w:val="22"/>
          <w:szCs w:val="22"/>
        </w:rPr>
      </w:pPr>
    </w:p>
    <w:p w:rsidR="00E50BA7" w:rsidRPr="0074006B" w:rsidRDefault="00E50BA7" w:rsidP="00E50BA7">
      <w:pPr>
        <w:jc w:val="both"/>
        <w:rPr>
          <w:rFonts w:ascii="Garamond" w:hAnsi="Garamond" w:cs="Arial"/>
          <w:sz w:val="22"/>
          <w:szCs w:val="22"/>
        </w:rPr>
      </w:pPr>
      <w:r w:rsidRPr="0074006B">
        <w:rPr>
          <w:rFonts w:ascii="Garamond" w:hAnsi="Garamond" w:cs="Arial"/>
          <w:sz w:val="22"/>
          <w:szCs w:val="22"/>
        </w:rPr>
        <w:t xml:space="preserve">A jogalkotásról szóló 2010. évi CXXX. törvény 17.§-a értelmében, a jogszabály előkészítője előzetes hatásvizsgálat elvégzése során felméri a szabályozás várható következményeit. Az előzetes hatásvizsgálat eredményéről önkormányzati rendelet esetén a képviselő-testületet tájékoztatni kell. A hatásvizsgálat az előterjesztés mellékleteként csatolásra került. </w:t>
      </w:r>
    </w:p>
    <w:p w:rsidR="00E50BA7" w:rsidRPr="0074006B" w:rsidRDefault="00E50BA7" w:rsidP="00E50BA7">
      <w:pPr>
        <w:jc w:val="both"/>
        <w:rPr>
          <w:rFonts w:ascii="Garamond" w:hAnsi="Garamond" w:cs="Arial"/>
          <w:sz w:val="22"/>
          <w:szCs w:val="22"/>
        </w:rPr>
      </w:pPr>
    </w:p>
    <w:p w:rsidR="00E50BA7" w:rsidRPr="0074006B" w:rsidRDefault="00E50BA7" w:rsidP="00E50BA7">
      <w:pPr>
        <w:jc w:val="both"/>
        <w:rPr>
          <w:rFonts w:ascii="Garamond" w:hAnsi="Garamond" w:cs="Arial"/>
          <w:sz w:val="22"/>
          <w:szCs w:val="22"/>
        </w:rPr>
      </w:pPr>
      <w:r w:rsidRPr="0074006B">
        <w:rPr>
          <w:rFonts w:ascii="Garamond" w:hAnsi="Garamond" w:cs="Arial"/>
          <w:sz w:val="22"/>
          <w:szCs w:val="22"/>
        </w:rPr>
        <w:t xml:space="preserve">Az előterjesztés tartalmazza a jogalkotásról szóló 2010. évi CXXX. törvény 18.§-ban foglaltak szerint a rendelettervezet indokolását. </w:t>
      </w:r>
    </w:p>
    <w:p w:rsidR="00E50BA7" w:rsidRPr="0074006B" w:rsidRDefault="00E50BA7" w:rsidP="00E50BA7">
      <w:pPr>
        <w:jc w:val="both"/>
        <w:rPr>
          <w:rFonts w:ascii="Garamond" w:hAnsi="Garamond"/>
          <w:b/>
          <w:sz w:val="22"/>
          <w:szCs w:val="22"/>
        </w:rPr>
      </w:pPr>
      <w:r w:rsidRPr="0074006B">
        <w:rPr>
          <w:rFonts w:ascii="Garamond" w:hAnsi="Garamond"/>
          <w:sz w:val="22"/>
          <w:szCs w:val="22"/>
        </w:rPr>
        <w:t>A rendelet</w:t>
      </w:r>
      <w:r w:rsidRPr="0074006B">
        <w:rPr>
          <w:rFonts w:ascii="Garamond" w:hAnsi="Garamond"/>
          <w:b/>
          <w:sz w:val="22"/>
          <w:szCs w:val="22"/>
        </w:rPr>
        <w:t xml:space="preserve"> </w:t>
      </w:r>
      <w:r w:rsidRPr="0074006B">
        <w:rPr>
          <w:rFonts w:ascii="Garamond" w:hAnsi="Garamond"/>
          <w:sz w:val="22"/>
          <w:szCs w:val="22"/>
        </w:rPr>
        <w:t xml:space="preserve">elfogadásához a Möt. 50.§ értelmében </w:t>
      </w:r>
      <w:r w:rsidRPr="0074006B">
        <w:rPr>
          <w:rFonts w:ascii="Garamond" w:hAnsi="Garamond"/>
          <w:b/>
          <w:sz w:val="22"/>
          <w:szCs w:val="22"/>
        </w:rPr>
        <w:t>minősített többség</w:t>
      </w:r>
      <w:r w:rsidRPr="0074006B">
        <w:rPr>
          <w:rFonts w:ascii="Garamond" w:hAnsi="Garamond"/>
          <w:sz w:val="22"/>
          <w:szCs w:val="22"/>
        </w:rPr>
        <w:t xml:space="preserve"> szükséges.</w:t>
      </w:r>
    </w:p>
    <w:p w:rsidR="00E50BA7" w:rsidRPr="0074006B" w:rsidRDefault="00E50BA7" w:rsidP="00E50BA7">
      <w:pPr>
        <w:ind w:left="1429"/>
        <w:jc w:val="both"/>
        <w:rPr>
          <w:rFonts w:ascii="Garamond" w:hAnsi="Garamond"/>
          <w:sz w:val="22"/>
          <w:szCs w:val="22"/>
        </w:rPr>
      </w:pPr>
    </w:p>
    <w:p w:rsidR="00E50BA7" w:rsidRPr="0074006B" w:rsidRDefault="00E50BA7" w:rsidP="00E50BA7">
      <w:pPr>
        <w:jc w:val="both"/>
        <w:rPr>
          <w:rFonts w:ascii="Garamond" w:hAnsi="Garamond"/>
          <w:sz w:val="22"/>
          <w:szCs w:val="22"/>
        </w:rPr>
      </w:pPr>
      <w:r w:rsidRPr="0074006B">
        <w:rPr>
          <w:rFonts w:ascii="Garamond" w:hAnsi="Garamond"/>
          <w:sz w:val="22"/>
          <w:szCs w:val="22"/>
        </w:rPr>
        <w:t>Kérem a Tisztelt Képviselő-testületet, hogy az előterjesztést megvitatni, a rendelettervezetet előterjesztés szerint megalkotni szíveskedjenek.</w:t>
      </w:r>
    </w:p>
    <w:p w:rsidR="00E50BA7" w:rsidRPr="0074006B" w:rsidRDefault="00E50BA7" w:rsidP="00E50BA7">
      <w:pPr>
        <w:jc w:val="both"/>
        <w:rPr>
          <w:rFonts w:ascii="Garamond" w:hAnsi="Garamond"/>
          <w:sz w:val="22"/>
          <w:szCs w:val="22"/>
        </w:rPr>
      </w:pPr>
    </w:p>
    <w:p w:rsidR="00E50BA7" w:rsidRPr="0074006B" w:rsidRDefault="00CC0BAC" w:rsidP="00E50BA7">
      <w:pPr>
        <w:tabs>
          <w:tab w:val="left" w:pos="3021"/>
        </w:tabs>
        <w:ind w:right="140"/>
        <w:jc w:val="both"/>
        <w:rPr>
          <w:rFonts w:ascii="Garamond" w:hAnsi="Garamond"/>
          <w:sz w:val="22"/>
          <w:szCs w:val="22"/>
        </w:rPr>
      </w:pPr>
      <w:r w:rsidRPr="0074006B">
        <w:rPr>
          <w:rFonts w:ascii="Garamond" w:hAnsi="Garamond"/>
          <w:b/>
          <w:sz w:val="22"/>
          <w:szCs w:val="22"/>
        </w:rPr>
        <w:t>Ábrahámhegy</w:t>
      </w:r>
      <w:r w:rsidR="00E50BA7" w:rsidRPr="0074006B">
        <w:rPr>
          <w:rFonts w:ascii="Garamond" w:hAnsi="Garamond"/>
          <w:b/>
          <w:sz w:val="22"/>
          <w:szCs w:val="22"/>
        </w:rPr>
        <w:t>,</w:t>
      </w:r>
      <w:r w:rsidR="00E50BA7" w:rsidRPr="0074006B">
        <w:rPr>
          <w:rFonts w:ascii="Garamond" w:hAnsi="Garamond"/>
          <w:sz w:val="22"/>
          <w:szCs w:val="22"/>
        </w:rPr>
        <w:t xml:space="preserve"> 2015. november 17.</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04106" w:rsidRPr="0074006B" w:rsidTr="00E50BA7">
        <w:tc>
          <w:tcPr>
            <w:tcW w:w="4531" w:type="dxa"/>
          </w:tcPr>
          <w:p w:rsidR="00E50BA7" w:rsidRPr="0074006B" w:rsidRDefault="00E50BA7" w:rsidP="00E50BA7">
            <w:pPr>
              <w:tabs>
                <w:tab w:val="left" w:pos="3021"/>
              </w:tabs>
              <w:ind w:right="140"/>
              <w:jc w:val="both"/>
              <w:rPr>
                <w:rFonts w:ascii="Garamond" w:hAnsi="Garamond"/>
                <w:sz w:val="22"/>
                <w:szCs w:val="22"/>
              </w:rPr>
            </w:pPr>
          </w:p>
        </w:tc>
        <w:tc>
          <w:tcPr>
            <w:tcW w:w="4531" w:type="dxa"/>
          </w:tcPr>
          <w:p w:rsidR="00E50BA7" w:rsidRPr="0074006B" w:rsidRDefault="00CC0BAC" w:rsidP="00E50BA7">
            <w:pPr>
              <w:tabs>
                <w:tab w:val="left" w:pos="3021"/>
              </w:tabs>
              <w:ind w:right="140"/>
              <w:jc w:val="center"/>
              <w:rPr>
                <w:rFonts w:ascii="Garamond" w:hAnsi="Garamond"/>
                <w:b/>
                <w:sz w:val="22"/>
                <w:szCs w:val="22"/>
              </w:rPr>
            </w:pPr>
            <w:r w:rsidRPr="0074006B">
              <w:rPr>
                <w:rFonts w:ascii="Garamond" w:hAnsi="Garamond"/>
                <w:b/>
                <w:sz w:val="22"/>
                <w:szCs w:val="22"/>
              </w:rPr>
              <w:t>Vella Ferenc Zsolt</w:t>
            </w:r>
          </w:p>
          <w:p w:rsidR="00E50BA7" w:rsidRPr="0074006B" w:rsidRDefault="00E50BA7" w:rsidP="00E50BA7">
            <w:pPr>
              <w:tabs>
                <w:tab w:val="left" w:pos="3021"/>
              </w:tabs>
              <w:ind w:right="140"/>
              <w:jc w:val="center"/>
              <w:rPr>
                <w:rFonts w:ascii="Garamond" w:hAnsi="Garamond"/>
                <w:sz w:val="22"/>
                <w:szCs w:val="22"/>
              </w:rPr>
            </w:pPr>
            <w:r w:rsidRPr="0074006B">
              <w:rPr>
                <w:rFonts w:ascii="Garamond" w:hAnsi="Garamond"/>
                <w:sz w:val="22"/>
                <w:szCs w:val="22"/>
              </w:rPr>
              <w:t>polgármester</w:t>
            </w:r>
          </w:p>
        </w:tc>
      </w:tr>
    </w:tbl>
    <w:p w:rsidR="00E50BA7" w:rsidRPr="0074006B" w:rsidRDefault="00E50BA7" w:rsidP="00E50BA7">
      <w:pPr>
        <w:tabs>
          <w:tab w:val="left" w:pos="3021"/>
        </w:tabs>
        <w:ind w:right="140"/>
        <w:jc w:val="both"/>
        <w:rPr>
          <w:rFonts w:ascii="Garamond" w:hAnsi="Garamond"/>
          <w:sz w:val="22"/>
          <w:szCs w:val="22"/>
        </w:rPr>
      </w:pPr>
      <w:r w:rsidRPr="0074006B">
        <w:rPr>
          <w:rFonts w:ascii="Garamond" w:hAnsi="Garamond"/>
          <w:sz w:val="22"/>
          <w:szCs w:val="22"/>
        </w:rPr>
        <w:tab/>
      </w:r>
    </w:p>
    <w:p w:rsidR="00E50BA7" w:rsidRPr="0074006B" w:rsidRDefault="00E50BA7" w:rsidP="005D3E8E">
      <w:pPr>
        <w:tabs>
          <w:tab w:val="left" w:pos="3021"/>
        </w:tabs>
        <w:ind w:right="140"/>
        <w:jc w:val="center"/>
        <w:rPr>
          <w:rFonts w:ascii="Garamond" w:hAnsi="Garamond" w:cs="Arial"/>
          <w:b/>
          <w:sz w:val="22"/>
          <w:szCs w:val="22"/>
        </w:rPr>
      </w:pPr>
      <w:r w:rsidRPr="0074006B">
        <w:rPr>
          <w:rFonts w:ascii="Garamond" w:hAnsi="Garamond" w:cs="Arial"/>
          <w:b/>
          <w:sz w:val="22"/>
          <w:szCs w:val="22"/>
        </w:rPr>
        <w:t>HATÁSVIZSGÁLATI LAP</w:t>
      </w:r>
    </w:p>
    <w:p w:rsidR="00CC0BAC" w:rsidRPr="0074006B" w:rsidRDefault="00CC0BAC" w:rsidP="00CC0BAC">
      <w:pPr>
        <w:suppressAutoHyphens/>
        <w:ind w:left="283" w:hanging="283"/>
        <w:jc w:val="center"/>
        <w:rPr>
          <w:rFonts w:ascii="Garamond" w:hAnsi="Garamond"/>
          <w:b/>
          <w:sz w:val="22"/>
          <w:szCs w:val="22"/>
          <w:lang w:eastAsia="ar-SA"/>
        </w:rPr>
      </w:pPr>
      <w:r w:rsidRPr="0074006B">
        <w:rPr>
          <w:rFonts w:ascii="Garamond" w:hAnsi="Garamond"/>
          <w:b/>
          <w:sz w:val="22"/>
          <w:szCs w:val="22"/>
          <w:lang w:eastAsia="ar-SA"/>
        </w:rPr>
        <w:t>Ábrahámhegy Község Önkormányzata Képviselő-testületének</w:t>
      </w:r>
    </w:p>
    <w:p w:rsidR="00CC0BAC" w:rsidRPr="0074006B" w:rsidRDefault="00CC0BAC" w:rsidP="00CC0BAC">
      <w:pPr>
        <w:jc w:val="center"/>
        <w:rPr>
          <w:rFonts w:ascii="Garamond" w:hAnsi="Garamond"/>
          <w:sz w:val="22"/>
          <w:szCs w:val="22"/>
        </w:rPr>
      </w:pPr>
      <w:r w:rsidRPr="0074006B">
        <w:rPr>
          <w:rFonts w:ascii="Garamond" w:hAnsi="Garamond"/>
          <w:b/>
          <w:sz w:val="22"/>
          <w:szCs w:val="22"/>
        </w:rPr>
        <w:t>…/2015. (XI.….) önkormányzati rendelete</w:t>
      </w:r>
    </w:p>
    <w:p w:rsidR="00CC0BAC" w:rsidRPr="0074006B" w:rsidRDefault="00CC0BAC" w:rsidP="00CC0BAC">
      <w:pPr>
        <w:pStyle w:val="NormlWeb"/>
        <w:spacing w:before="0" w:beforeAutospacing="0" w:after="0" w:afterAutospacing="0"/>
        <w:ind w:right="176"/>
        <w:jc w:val="center"/>
        <w:rPr>
          <w:rFonts w:ascii="Garamond" w:hAnsi="Garamond"/>
          <w:b/>
          <w:bCs/>
          <w:sz w:val="22"/>
          <w:szCs w:val="22"/>
        </w:rPr>
      </w:pPr>
      <w:r w:rsidRPr="0074006B">
        <w:rPr>
          <w:rFonts w:ascii="Garamond" w:hAnsi="Garamond"/>
          <w:b/>
          <w:bCs/>
          <w:sz w:val="22"/>
          <w:szCs w:val="22"/>
        </w:rPr>
        <w:t>a helyi adókról szóló 9/2014.(X.08.) önkormányzati rendelet módosításáról</w:t>
      </w:r>
    </w:p>
    <w:p w:rsidR="00E50BA7" w:rsidRPr="0074006B" w:rsidRDefault="00E50BA7" w:rsidP="00E50BA7">
      <w:pPr>
        <w:rPr>
          <w:rFonts w:ascii="Garamond" w:hAnsi="Garamond" w:cs="Arial"/>
          <w:b/>
          <w:sz w:val="22"/>
          <w:szCs w:val="22"/>
        </w:rPr>
      </w:pPr>
    </w:p>
    <w:p w:rsidR="00E50BA7" w:rsidRPr="0074006B" w:rsidRDefault="00E50BA7" w:rsidP="00E50BA7">
      <w:pPr>
        <w:jc w:val="both"/>
        <w:rPr>
          <w:rFonts w:ascii="Garamond" w:hAnsi="Garamond" w:cs="Garamond"/>
          <w:sz w:val="22"/>
          <w:szCs w:val="22"/>
        </w:rPr>
      </w:pPr>
      <w:r w:rsidRPr="0074006B">
        <w:rPr>
          <w:rFonts w:ascii="Garamond" w:hAnsi="Garamond" w:cs="Garamond"/>
          <w:sz w:val="22"/>
          <w:szCs w:val="22"/>
        </w:rPr>
        <w:t xml:space="preserve">A jogalkotásról szóló 2010. évi CXXX. törvény – a továbbiakban: Jat. – 17. § (1)-(2) bekezdése értelmében </w:t>
      </w:r>
    </w:p>
    <w:p w:rsidR="00E50BA7" w:rsidRPr="0074006B" w:rsidRDefault="00E50BA7" w:rsidP="00E50BA7">
      <w:pPr>
        <w:jc w:val="both"/>
        <w:rPr>
          <w:rFonts w:ascii="Garamond" w:hAnsi="Garamond" w:cs="Garamond"/>
          <w:i/>
          <w:iCs/>
          <w:sz w:val="22"/>
          <w:szCs w:val="22"/>
        </w:rPr>
      </w:pPr>
      <w:r w:rsidRPr="0074006B">
        <w:rPr>
          <w:rFonts w:ascii="Garamond" w:hAnsi="Garamond" w:cs="Garamond"/>
          <w:bCs/>
          <w:i/>
          <w:iCs/>
          <w:sz w:val="22"/>
          <w:szCs w:val="22"/>
        </w:rPr>
        <w:t>„</w:t>
      </w:r>
      <w:r w:rsidRPr="0074006B">
        <w:rPr>
          <w:rFonts w:ascii="Garamond" w:hAnsi="Garamond" w:cs="Garamond"/>
          <w:i/>
          <w:iCs/>
          <w:sz w:val="22"/>
          <w:szCs w:val="22"/>
        </w:rPr>
        <w:t>A jogszabály előkészítője – a jogszabály feltételezett hatásaihoz igazodó részletességű – előzetes hatásvizsgálat elvégzésével felméri a szabályozás várható következményeit. Az előzetes hatásvizsgálat eredményéről a Kormány által előterjesztendő törvényjavaslat, illetve kormányrendelet esetén a Kormányt, önkormányzati rendelet esetén a helyi önkormányzat képviselő-testületét tájékoztatni kell. Miniszteri rendelet rendelkezhet úgy, hogy az általa meghatározott esetben a közjogi szervezetszabályozó eszköz előkészítője előzetes hatásvizsgálatot végez.</w:t>
      </w:r>
    </w:p>
    <w:p w:rsidR="00E50BA7" w:rsidRPr="0074006B" w:rsidRDefault="00E50BA7" w:rsidP="00E50BA7">
      <w:pPr>
        <w:jc w:val="both"/>
        <w:rPr>
          <w:rFonts w:ascii="Garamond" w:hAnsi="Garamond" w:cs="Garamond"/>
          <w:i/>
          <w:iCs/>
          <w:sz w:val="22"/>
          <w:szCs w:val="22"/>
        </w:rPr>
      </w:pPr>
      <w:r w:rsidRPr="0074006B">
        <w:rPr>
          <w:rFonts w:ascii="Garamond" w:hAnsi="Garamond" w:cs="Garamond"/>
          <w:i/>
          <w:iCs/>
          <w:sz w:val="22"/>
          <w:szCs w:val="22"/>
        </w:rPr>
        <w:t>(2) A hatásvizsgálat során vizsgálni kell</w:t>
      </w:r>
    </w:p>
    <w:p w:rsidR="00E50BA7" w:rsidRPr="0074006B" w:rsidRDefault="00E50BA7" w:rsidP="00E50BA7">
      <w:pPr>
        <w:ind w:firstLine="284"/>
        <w:jc w:val="both"/>
        <w:rPr>
          <w:rFonts w:ascii="Garamond" w:hAnsi="Garamond" w:cs="Garamond"/>
          <w:i/>
          <w:iCs/>
          <w:sz w:val="22"/>
          <w:szCs w:val="22"/>
        </w:rPr>
      </w:pPr>
      <w:r w:rsidRPr="0074006B">
        <w:rPr>
          <w:rFonts w:ascii="Garamond" w:hAnsi="Garamond" w:cs="Garamond"/>
          <w:i/>
          <w:iCs/>
          <w:sz w:val="22"/>
          <w:szCs w:val="22"/>
        </w:rPr>
        <w:t>a) </w:t>
      </w:r>
      <w:r w:rsidRPr="0074006B">
        <w:rPr>
          <w:rFonts w:ascii="Garamond" w:hAnsi="Garamond" w:cs="Garamond"/>
          <w:i/>
          <w:iCs/>
          <w:sz w:val="22"/>
          <w:szCs w:val="22"/>
        </w:rPr>
        <w:tab/>
        <w:t>a tervezett jogszabály valamennyi jelentősnek ítélt hatását, különösen</w:t>
      </w:r>
    </w:p>
    <w:p w:rsidR="00E50BA7" w:rsidRPr="0074006B" w:rsidRDefault="00E50BA7" w:rsidP="00E50BA7">
      <w:pPr>
        <w:ind w:left="709" w:hanging="1"/>
        <w:jc w:val="both"/>
        <w:rPr>
          <w:rFonts w:ascii="Garamond" w:hAnsi="Garamond" w:cs="Garamond"/>
          <w:i/>
          <w:iCs/>
          <w:sz w:val="22"/>
          <w:szCs w:val="22"/>
        </w:rPr>
      </w:pPr>
      <w:r w:rsidRPr="0074006B">
        <w:rPr>
          <w:rFonts w:ascii="Garamond" w:hAnsi="Garamond" w:cs="Garamond"/>
          <w:i/>
          <w:iCs/>
          <w:sz w:val="22"/>
          <w:szCs w:val="22"/>
        </w:rPr>
        <w:t>aa) társadalmi, gazdasági, költségvetési hatásait,</w:t>
      </w:r>
    </w:p>
    <w:p w:rsidR="00E50BA7" w:rsidRPr="0074006B" w:rsidRDefault="00E50BA7" w:rsidP="00E50BA7">
      <w:pPr>
        <w:ind w:left="567" w:firstLine="141"/>
        <w:jc w:val="both"/>
        <w:rPr>
          <w:rFonts w:ascii="Garamond" w:hAnsi="Garamond" w:cs="Garamond"/>
          <w:i/>
          <w:iCs/>
          <w:sz w:val="22"/>
          <w:szCs w:val="22"/>
        </w:rPr>
      </w:pPr>
      <w:r w:rsidRPr="0074006B">
        <w:rPr>
          <w:rFonts w:ascii="Garamond" w:hAnsi="Garamond" w:cs="Garamond"/>
          <w:i/>
          <w:iCs/>
          <w:sz w:val="22"/>
          <w:szCs w:val="22"/>
        </w:rPr>
        <w:t>ab) környezeti és egészségi következményeit,</w:t>
      </w:r>
    </w:p>
    <w:p w:rsidR="00E50BA7" w:rsidRPr="0074006B" w:rsidRDefault="00E50BA7" w:rsidP="00E50BA7">
      <w:pPr>
        <w:ind w:left="567" w:firstLine="141"/>
        <w:jc w:val="both"/>
        <w:rPr>
          <w:rFonts w:ascii="Garamond" w:hAnsi="Garamond" w:cs="Garamond"/>
          <w:i/>
          <w:iCs/>
          <w:sz w:val="22"/>
          <w:szCs w:val="22"/>
        </w:rPr>
      </w:pPr>
      <w:r w:rsidRPr="0074006B">
        <w:rPr>
          <w:rFonts w:ascii="Garamond" w:hAnsi="Garamond" w:cs="Garamond"/>
          <w:i/>
          <w:iCs/>
          <w:sz w:val="22"/>
          <w:szCs w:val="22"/>
        </w:rPr>
        <w:t>ac) adminisztratív terheket befolyásoló hatásait, valamint</w:t>
      </w:r>
    </w:p>
    <w:p w:rsidR="00E50BA7" w:rsidRPr="0074006B" w:rsidRDefault="00E50BA7" w:rsidP="00E50BA7">
      <w:pPr>
        <w:ind w:left="709" w:hanging="425"/>
        <w:jc w:val="both"/>
        <w:rPr>
          <w:rFonts w:ascii="Garamond" w:hAnsi="Garamond" w:cs="Garamond"/>
          <w:i/>
          <w:iCs/>
          <w:sz w:val="22"/>
          <w:szCs w:val="22"/>
        </w:rPr>
      </w:pPr>
      <w:r w:rsidRPr="0074006B">
        <w:rPr>
          <w:rFonts w:ascii="Garamond" w:hAnsi="Garamond" w:cs="Garamond"/>
          <w:i/>
          <w:iCs/>
          <w:sz w:val="22"/>
          <w:szCs w:val="22"/>
        </w:rPr>
        <w:t>b) </w:t>
      </w:r>
      <w:r w:rsidRPr="0074006B">
        <w:rPr>
          <w:rFonts w:ascii="Garamond" w:hAnsi="Garamond" w:cs="Garamond"/>
          <w:i/>
          <w:iCs/>
          <w:sz w:val="22"/>
          <w:szCs w:val="22"/>
        </w:rPr>
        <w:tab/>
        <w:t>a jogszabály megalkotásának szükségességét, a jogalkotás elmaradásának várható következményeit, és</w:t>
      </w:r>
    </w:p>
    <w:p w:rsidR="00E50BA7" w:rsidRPr="0074006B" w:rsidRDefault="00E50BA7" w:rsidP="00E50BA7">
      <w:pPr>
        <w:ind w:left="709" w:hanging="425"/>
        <w:jc w:val="both"/>
        <w:rPr>
          <w:rFonts w:ascii="Garamond" w:hAnsi="Garamond" w:cs="Garamond"/>
          <w:i/>
          <w:iCs/>
          <w:sz w:val="22"/>
          <w:szCs w:val="22"/>
        </w:rPr>
      </w:pPr>
      <w:r w:rsidRPr="0074006B">
        <w:rPr>
          <w:rFonts w:ascii="Garamond" w:hAnsi="Garamond" w:cs="Garamond"/>
          <w:i/>
          <w:iCs/>
          <w:sz w:val="22"/>
          <w:szCs w:val="22"/>
        </w:rPr>
        <w:t>c) </w:t>
      </w:r>
      <w:r w:rsidRPr="0074006B">
        <w:rPr>
          <w:rFonts w:ascii="Garamond" w:hAnsi="Garamond" w:cs="Garamond"/>
          <w:i/>
          <w:iCs/>
          <w:sz w:val="22"/>
          <w:szCs w:val="22"/>
        </w:rPr>
        <w:tab/>
        <w:t>a jogszabály alkalmazásához szükséges személyi, szervezeti, tárgyi és pénzügyi feltételeket.”</w:t>
      </w:r>
    </w:p>
    <w:p w:rsidR="00E50BA7" w:rsidRPr="0074006B" w:rsidRDefault="00E50BA7" w:rsidP="00E50BA7">
      <w:pPr>
        <w:ind w:firstLine="180"/>
        <w:jc w:val="both"/>
        <w:rPr>
          <w:rFonts w:ascii="Garamond" w:hAnsi="Garamond" w:cs="Garamond"/>
          <w:i/>
          <w:iCs/>
          <w:sz w:val="22"/>
          <w:szCs w:val="22"/>
        </w:rPr>
      </w:pPr>
    </w:p>
    <w:p w:rsidR="00E50BA7" w:rsidRPr="0074006B" w:rsidRDefault="00E50BA7" w:rsidP="00E50BA7">
      <w:pPr>
        <w:jc w:val="both"/>
        <w:rPr>
          <w:rFonts w:ascii="Garamond" w:hAnsi="Garamond" w:cs="Arial"/>
          <w:sz w:val="22"/>
          <w:szCs w:val="22"/>
        </w:rPr>
      </w:pPr>
      <w:r w:rsidRPr="0074006B">
        <w:rPr>
          <w:rFonts w:ascii="Garamond" w:hAnsi="Garamond" w:cs="Garamond"/>
          <w:sz w:val="22"/>
          <w:szCs w:val="22"/>
        </w:rPr>
        <w:t xml:space="preserve">A rendelet-tervezet </w:t>
      </w:r>
      <w:r w:rsidRPr="0074006B">
        <w:rPr>
          <w:rFonts w:ascii="Garamond" w:hAnsi="Garamond" w:cs="Garamond"/>
          <w:b/>
          <w:bCs/>
          <w:sz w:val="22"/>
          <w:szCs w:val="22"/>
        </w:rPr>
        <w:t>társadalmi, gazdasági és költségvetési hatásai</w:t>
      </w:r>
      <w:r w:rsidRPr="0074006B">
        <w:rPr>
          <w:rFonts w:ascii="Garamond" w:hAnsi="Garamond" w:cs="Garamond"/>
          <w:sz w:val="22"/>
          <w:szCs w:val="22"/>
        </w:rPr>
        <w:t xml:space="preserve">: </w:t>
      </w:r>
      <w:r w:rsidRPr="0074006B">
        <w:rPr>
          <w:rFonts w:ascii="Garamond" w:hAnsi="Garamond" w:cs="Arial"/>
          <w:sz w:val="22"/>
          <w:szCs w:val="22"/>
        </w:rPr>
        <w:t>A rendelettervezetben a helyi adómértékek</w:t>
      </w:r>
      <w:r w:rsidR="0074006B">
        <w:rPr>
          <w:rFonts w:ascii="Garamond" w:hAnsi="Garamond" w:cs="Arial"/>
          <w:sz w:val="22"/>
          <w:szCs w:val="22"/>
        </w:rPr>
        <w:t>, mentességi körök és kedvezmények köre módosítható</w:t>
      </w:r>
      <w:r w:rsidRPr="0074006B">
        <w:rPr>
          <w:rFonts w:ascii="Garamond" w:hAnsi="Garamond" w:cs="Arial"/>
          <w:sz w:val="22"/>
          <w:szCs w:val="22"/>
        </w:rPr>
        <w:t xml:space="preserve">. A beszedett helyi adó az önkormányzat egyik fontos, meghatározó bevétele, mely segíti és támogatja az adómérték változással csökkenthető, illetve </w:t>
      </w:r>
      <w:r w:rsidRPr="0074006B">
        <w:rPr>
          <w:rFonts w:ascii="Garamond" w:hAnsi="Garamond" w:cs="Arial"/>
          <w:sz w:val="22"/>
          <w:szCs w:val="22"/>
        </w:rPr>
        <w:lastRenderedPageBreak/>
        <w:t>növelhető lakosságtól és a vállalkozásoktól elvont összeg és ezzel párhuzamosan csökken, illetve növekszik az önkormányzat saját bevétele, mely az önkormányzat működési és fejlesztési kiadásainak meghatározó forrása.</w:t>
      </w:r>
    </w:p>
    <w:p w:rsidR="00E50BA7" w:rsidRPr="0074006B" w:rsidRDefault="00E50BA7" w:rsidP="00E50BA7">
      <w:pPr>
        <w:jc w:val="both"/>
        <w:rPr>
          <w:rFonts w:ascii="Garamond" w:hAnsi="Garamond" w:cs="Garamond"/>
          <w:sz w:val="22"/>
          <w:szCs w:val="22"/>
        </w:rPr>
      </w:pPr>
      <w:r w:rsidRPr="0074006B">
        <w:rPr>
          <w:rFonts w:ascii="Garamond" w:hAnsi="Garamond" w:cs="Garamond"/>
          <w:sz w:val="22"/>
          <w:szCs w:val="22"/>
        </w:rPr>
        <w:t xml:space="preserve">A rendeletben foglaltak végrehajtásának </w:t>
      </w:r>
      <w:r w:rsidRPr="0074006B">
        <w:rPr>
          <w:rFonts w:ascii="Garamond" w:hAnsi="Garamond" w:cs="Garamond"/>
          <w:b/>
          <w:bCs/>
          <w:sz w:val="22"/>
          <w:szCs w:val="22"/>
        </w:rPr>
        <w:t>környezetre gyakorolt hatása</w:t>
      </w:r>
      <w:r w:rsidRPr="0074006B">
        <w:rPr>
          <w:rFonts w:ascii="Garamond" w:hAnsi="Garamond" w:cs="Garamond"/>
          <w:sz w:val="22"/>
          <w:szCs w:val="22"/>
        </w:rPr>
        <w:t xml:space="preserve">, </w:t>
      </w:r>
      <w:r w:rsidRPr="0074006B">
        <w:rPr>
          <w:rFonts w:ascii="Garamond" w:hAnsi="Garamond" w:cs="Garamond"/>
          <w:b/>
          <w:bCs/>
          <w:sz w:val="22"/>
          <w:szCs w:val="22"/>
        </w:rPr>
        <w:t>egészségi következménye</w:t>
      </w:r>
      <w:r w:rsidRPr="0074006B">
        <w:rPr>
          <w:rFonts w:ascii="Garamond" w:hAnsi="Garamond" w:cs="Garamond"/>
          <w:sz w:val="22"/>
          <w:szCs w:val="22"/>
        </w:rPr>
        <w:t xml:space="preserve"> nincs.</w:t>
      </w:r>
    </w:p>
    <w:p w:rsidR="00E50BA7" w:rsidRPr="0074006B" w:rsidRDefault="00E50BA7" w:rsidP="00E50BA7">
      <w:pPr>
        <w:jc w:val="both"/>
        <w:rPr>
          <w:rFonts w:ascii="Garamond" w:hAnsi="Garamond" w:cs="Garamond"/>
          <w:sz w:val="22"/>
          <w:szCs w:val="22"/>
        </w:rPr>
      </w:pPr>
      <w:r w:rsidRPr="0074006B">
        <w:rPr>
          <w:rFonts w:ascii="Garamond" w:hAnsi="Garamond" w:cs="Garamond"/>
          <w:sz w:val="22"/>
          <w:szCs w:val="22"/>
        </w:rPr>
        <w:t xml:space="preserve">A rendelet-tervezet </w:t>
      </w:r>
      <w:r w:rsidRPr="0074006B">
        <w:rPr>
          <w:rFonts w:ascii="Garamond" w:hAnsi="Garamond" w:cs="Garamond"/>
          <w:b/>
          <w:bCs/>
          <w:sz w:val="22"/>
          <w:szCs w:val="22"/>
        </w:rPr>
        <w:t>adminisztratív terheket</w:t>
      </w:r>
      <w:r w:rsidRPr="0074006B">
        <w:rPr>
          <w:rFonts w:ascii="Garamond" w:hAnsi="Garamond" w:cs="Garamond"/>
          <w:sz w:val="22"/>
          <w:szCs w:val="22"/>
        </w:rPr>
        <w:t xml:space="preserve"> </w:t>
      </w:r>
      <w:r w:rsidRPr="0074006B">
        <w:rPr>
          <w:rFonts w:ascii="Garamond" w:hAnsi="Garamond" w:cs="Garamond"/>
          <w:b/>
          <w:bCs/>
          <w:sz w:val="22"/>
          <w:szCs w:val="22"/>
        </w:rPr>
        <w:t>befolyásoló hatása</w:t>
      </w:r>
      <w:r w:rsidRPr="0074006B">
        <w:rPr>
          <w:rFonts w:ascii="Garamond" w:hAnsi="Garamond" w:cs="Garamond"/>
          <w:sz w:val="22"/>
          <w:szCs w:val="22"/>
        </w:rPr>
        <w:t>: az adminisztratív terhek nem növekednek.</w:t>
      </w:r>
    </w:p>
    <w:p w:rsidR="00E50BA7" w:rsidRPr="0074006B" w:rsidRDefault="00E50BA7" w:rsidP="00E50BA7">
      <w:pPr>
        <w:jc w:val="both"/>
        <w:rPr>
          <w:rFonts w:ascii="Garamond" w:hAnsi="Garamond" w:cs="Garamond"/>
          <w:b/>
          <w:bCs/>
          <w:sz w:val="22"/>
          <w:szCs w:val="22"/>
        </w:rPr>
      </w:pPr>
      <w:r w:rsidRPr="0074006B">
        <w:rPr>
          <w:rFonts w:ascii="Garamond" w:hAnsi="Garamond" w:cs="Garamond"/>
          <w:b/>
          <w:bCs/>
          <w:sz w:val="22"/>
          <w:szCs w:val="22"/>
        </w:rPr>
        <w:t>A jogszabály megalkotásának szükségessége, a jogalkotás elmaradásának várható következményei</w:t>
      </w:r>
      <w:r w:rsidRPr="0074006B">
        <w:rPr>
          <w:rFonts w:ascii="Garamond" w:hAnsi="Garamond" w:cs="Garamond"/>
          <w:sz w:val="22"/>
          <w:szCs w:val="22"/>
        </w:rPr>
        <w:t>:</w:t>
      </w:r>
    </w:p>
    <w:p w:rsidR="00A04106" w:rsidRPr="0074006B" w:rsidRDefault="005D3E8E" w:rsidP="00E50BA7">
      <w:pPr>
        <w:jc w:val="both"/>
        <w:rPr>
          <w:rFonts w:ascii="Garamond" w:hAnsi="Garamond" w:cs="Garamond"/>
          <w:bCs/>
          <w:sz w:val="22"/>
          <w:szCs w:val="22"/>
        </w:rPr>
      </w:pPr>
      <w:r>
        <w:rPr>
          <w:rFonts w:ascii="Garamond" w:hAnsi="Garamond" w:cs="Garamond"/>
          <w:bCs/>
          <w:sz w:val="22"/>
          <w:szCs w:val="22"/>
        </w:rPr>
        <w:t>Telekadó</w:t>
      </w:r>
      <w:r w:rsidR="00A04106" w:rsidRPr="0074006B">
        <w:rPr>
          <w:rFonts w:ascii="Garamond" w:hAnsi="Garamond" w:cs="Garamond"/>
          <w:bCs/>
          <w:sz w:val="22"/>
          <w:szCs w:val="22"/>
        </w:rPr>
        <w:t xml:space="preserve"> adó mértékének</w:t>
      </w:r>
      <w:r>
        <w:rPr>
          <w:rFonts w:ascii="Garamond" w:hAnsi="Garamond" w:cs="Garamond"/>
          <w:bCs/>
          <w:sz w:val="22"/>
          <w:szCs w:val="22"/>
        </w:rPr>
        <w:t>, mentességi körének</w:t>
      </w:r>
      <w:r w:rsidR="00A04106" w:rsidRPr="0074006B">
        <w:rPr>
          <w:rFonts w:ascii="Garamond" w:hAnsi="Garamond" w:cs="Garamond"/>
          <w:bCs/>
          <w:sz w:val="22"/>
          <w:szCs w:val="22"/>
        </w:rPr>
        <w:t xml:space="preserve"> f</w:t>
      </w:r>
      <w:r w:rsidR="00E50BA7" w:rsidRPr="0074006B">
        <w:rPr>
          <w:rFonts w:ascii="Garamond" w:hAnsi="Garamond" w:cs="Garamond"/>
          <w:bCs/>
          <w:sz w:val="22"/>
          <w:szCs w:val="22"/>
        </w:rPr>
        <w:t>elülvizsgálat</w:t>
      </w:r>
      <w:r w:rsidR="00A04106" w:rsidRPr="0074006B">
        <w:rPr>
          <w:rFonts w:ascii="Garamond" w:hAnsi="Garamond" w:cs="Garamond"/>
          <w:bCs/>
          <w:sz w:val="22"/>
          <w:szCs w:val="22"/>
        </w:rPr>
        <w:t>a</w:t>
      </w:r>
      <w:r w:rsidR="00E50BA7" w:rsidRPr="0074006B">
        <w:rPr>
          <w:rFonts w:ascii="Garamond" w:hAnsi="Garamond" w:cs="Garamond"/>
          <w:bCs/>
          <w:sz w:val="22"/>
          <w:szCs w:val="22"/>
        </w:rPr>
        <w:t xml:space="preserve"> miatti jogszabály</w:t>
      </w:r>
      <w:r w:rsidR="00A04106" w:rsidRPr="0074006B">
        <w:rPr>
          <w:rFonts w:ascii="Garamond" w:hAnsi="Garamond" w:cs="Garamond"/>
          <w:bCs/>
          <w:sz w:val="22"/>
          <w:szCs w:val="22"/>
        </w:rPr>
        <w:t xml:space="preserve"> módosítás.</w:t>
      </w:r>
    </w:p>
    <w:p w:rsidR="00E50BA7" w:rsidRPr="0074006B" w:rsidRDefault="00E50BA7" w:rsidP="00E50BA7">
      <w:pPr>
        <w:jc w:val="both"/>
        <w:rPr>
          <w:rFonts w:ascii="Garamond" w:hAnsi="Garamond" w:cs="Garamond"/>
          <w:b/>
          <w:bCs/>
          <w:sz w:val="22"/>
          <w:szCs w:val="22"/>
        </w:rPr>
      </w:pPr>
      <w:r w:rsidRPr="0074006B">
        <w:rPr>
          <w:rFonts w:ascii="Garamond" w:hAnsi="Garamond" w:cs="Garamond"/>
          <w:b/>
          <w:bCs/>
          <w:sz w:val="22"/>
          <w:szCs w:val="22"/>
        </w:rPr>
        <w:t>A jogszabály alkalmazásához szükséges személyi, szervezeti, tárgyi és pénzügyi feltételek</w:t>
      </w:r>
      <w:r w:rsidRPr="0074006B">
        <w:rPr>
          <w:rFonts w:ascii="Garamond" w:hAnsi="Garamond" w:cs="Garamond"/>
          <w:sz w:val="22"/>
          <w:szCs w:val="22"/>
        </w:rPr>
        <w:t>:</w:t>
      </w:r>
    </w:p>
    <w:p w:rsidR="00E50BA7" w:rsidRPr="0074006B" w:rsidRDefault="00E50BA7" w:rsidP="00E50BA7">
      <w:pPr>
        <w:autoSpaceDE w:val="0"/>
        <w:autoSpaceDN w:val="0"/>
        <w:adjustRightInd w:val="0"/>
        <w:jc w:val="both"/>
        <w:rPr>
          <w:rFonts w:ascii="Garamond" w:hAnsi="Garamond"/>
          <w:sz w:val="22"/>
          <w:szCs w:val="22"/>
        </w:rPr>
      </w:pPr>
      <w:r w:rsidRPr="0074006B">
        <w:rPr>
          <w:rFonts w:ascii="Garamond" w:hAnsi="Garamond" w:cs="Garamond"/>
          <w:sz w:val="22"/>
          <w:szCs w:val="22"/>
        </w:rPr>
        <w:t xml:space="preserve">A jogszabály alkalmazásához szükséges személyi, tárgyi, szervezeti, pénzügyi feltételek rendelkezésre állnak, </w:t>
      </w:r>
      <w:r w:rsidRPr="0074006B">
        <w:rPr>
          <w:rFonts w:ascii="Garamond" w:hAnsi="Garamond"/>
          <w:sz w:val="22"/>
          <w:szCs w:val="22"/>
        </w:rPr>
        <w:t>pótlólagos erőforrásokat nem követel meg.</w:t>
      </w:r>
    </w:p>
    <w:p w:rsidR="00E50BA7" w:rsidRPr="0074006B" w:rsidRDefault="00E50BA7" w:rsidP="00E50BA7">
      <w:pPr>
        <w:jc w:val="both"/>
        <w:rPr>
          <w:rFonts w:ascii="Garamond" w:hAnsi="Garamond" w:cs="Arial"/>
          <w:sz w:val="22"/>
          <w:szCs w:val="22"/>
        </w:rPr>
      </w:pPr>
    </w:p>
    <w:p w:rsidR="00E50BA7" w:rsidRPr="0074006B" w:rsidRDefault="00E50BA7" w:rsidP="00E50BA7">
      <w:pPr>
        <w:jc w:val="center"/>
        <w:rPr>
          <w:rFonts w:ascii="Garamond" w:hAnsi="Garamond"/>
          <w:b/>
          <w:sz w:val="22"/>
          <w:szCs w:val="22"/>
        </w:rPr>
      </w:pPr>
      <w:r w:rsidRPr="0074006B">
        <w:rPr>
          <w:rFonts w:ascii="Garamond" w:hAnsi="Garamond"/>
          <w:b/>
          <w:caps/>
          <w:sz w:val="22"/>
          <w:szCs w:val="22"/>
        </w:rPr>
        <w:t>Indokolás</w:t>
      </w:r>
      <w:r w:rsidRPr="0074006B">
        <w:rPr>
          <w:rFonts w:ascii="Garamond" w:hAnsi="Garamond"/>
          <w:b/>
          <w:sz w:val="22"/>
          <w:szCs w:val="22"/>
        </w:rPr>
        <w:t xml:space="preserve"> </w:t>
      </w:r>
    </w:p>
    <w:p w:rsidR="00CC0BAC" w:rsidRPr="0074006B" w:rsidRDefault="00CC0BAC" w:rsidP="00CC0BAC">
      <w:pPr>
        <w:suppressAutoHyphens/>
        <w:ind w:left="283" w:hanging="283"/>
        <w:jc w:val="center"/>
        <w:rPr>
          <w:rFonts w:ascii="Garamond" w:hAnsi="Garamond"/>
          <w:b/>
          <w:sz w:val="22"/>
          <w:szCs w:val="22"/>
          <w:lang w:eastAsia="ar-SA"/>
        </w:rPr>
      </w:pPr>
      <w:r w:rsidRPr="0074006B">
        <w:rPr>
          <w:rFonts w:ascii="Garamond" w:hAnsi="Garamond"/>
          <w:b/>
          <w:sz w:val="22"/>
          <w:szCs w:val="22"/>
          <w:lang w:eastAsia="ar-SA"/>
        </w:rPr>
        <w:t>Ábrahámhegy Község Önkormányzata Képviselő-testületének</w:t>
      </w:r>
    </w:p>
    <w:p w:rsidR="00CC0BAC" w:rsidRPr="0074006B" w:rsidRDefault="00CC0BAC" w:rsidP="00CC0BAC">
      <w:pPr>
        <w:jc w:val="center"/>
        <w:rPr>
          <w:rFonts w:ascii="Garamond" w:hAnsi="Garamond"/>
          <w:sz w:val="22"/>
          <w:szCs w:val="22"/>
        </w:rPr>
      </w:pPr>
      <w:r w:rsidRPr="0074006B">
        <w:rPr>
          <w:rFonts w:ascii="Garamond" w:hAnsi="Garamond"/>
          <w:b/>
          <w:sz w:val="22"/>
          <w:szCs w:val="22"/>
        </w:rPr>
        <w:t>…/2015. (XI.….) önkormányzati rendelete</w:t>
      </w:r>
    </w:p>
    <w:p w:rsidR="00CC0BAC" w:rsidRPr="0074006B" w:rsidRDefault="00CC0BAC" w:rsidP="00CC0BAC">
      <w:pPr>
        <w:pStyle w:val="NormlWeb"/>
        <w:spacing w:before="0" w:beforeAutospacing="0" w:after="0" w:afterAutospacing="0"/>
        <w:ind w:right="176"/>
        <w:jc w:val="center"/>
        <w:rPr>
          <w:rFonts w:ascii="Garamond" w:hAnsi="Garamond"/>
          <w:b/>
          <w:bCs/>
          <w:sz w:val="22"/>
          <w:szCs w:val="22"/>
        </w:rPr>
      </w:pPr>
      <w:r w:rsidRPr="0074006B">
        <w:rPr>
          <w:rFonts w:ascii="Garamond" w:hAnsi="Garamond"/>
          <w:b/>
          <w:bCs/>
          <w:sz w:val="22"/>
          <w:szCs w:val="22"/>
        </w:rPr>
        <w:t>a helyi adókról szóló 9/2014.(X.08.) önkormányzati rendelet módosításáról</w:t>
      </w:r>
    </w:p>
    <w:p w:rsidR="00E50BA7" w:rsidRPr="0074006B" w:rsidRDefault="00E50BA7" w:rsidP="00E50BA7">
      <w:pPr>
        <w:rPr>
          <w:rFonts w:ascii="Garamond" w:hAnsi="Garamond" w:cs="Arial"/>
          <w:b/>
          <w:sz w:val="22"/>
          <w:szCs w:val="22"/>
        </w:rPr>
      </w:pPr>
    </w:p>
    <w:p w:rsidR="00A04106" w:rsidRPr="0074006B" w:rsidRDefault="00A04106" w:rsidP="00A04106">
      <w:pPr>
        <w:jc w:val="both"/>
        <w:rPr>
          <w:rFonts w:ascii="Garamond" w:hAnsi="Garamond"/>
          <w:i/>
          <w:sz w:val="22"/>
          <w:szCs w:val="22"/>
        </w:rPr>
      </w:pPr>
      <w:r w:rsidRPr="0074006B">
        <w:rPr>
          <w:rFonts w:ascii="Garamond" w:hAnsi="Garamond"/>
          <w:sz w:val="22"/>
          <w:szCs w:val="22"/>
        </w:rPr>
        <w:t>A Jat. 18.§ (1)-(2) bekezdése rögzíti, hogy „</w:t>
      </w:r>
      <w:r w:rsidRPr="0074006B">
        <w:rPr>
          <w:rFonts w:ascii="Garamond" w:hAnsi="Garamond"/>
          <w:i/>
          <w:sz w:val="22"/>
          <w:szCs w:val="22"/>
        </w:rPr>
        <w:t>A jogszabály tervezetéhez a jogszabály előkészítője indokolást csatol, amelyben bemutatja azokat a társadalmi, gazdasági, szakmai okokat és célokat, amelyek a javasolt szabályozást szükségessé teszik, továbbá ismerteti a jogi szabályozás várható hatásait.</w:t>
      </w:r>
    </w:p>
    <w:p w:rsidR="00A04106" w:rsidRPr="0074006B" w:rsidRDefault="00A04106" w:rsidP="00A04106">
      <w:pPr>
        <w:jc w:val="both"/>
        <w:rPr>
          <w:rFonts w:ascii="Garamond" w:hAnsi="Garamond"/>
          <w:i/>
          <w:sz w:val="22"/>
          <w:szCs w:val="22"/>
        </w:rPr>
      </w:pPr>
      <w:r w:rsidRPr="0074006B">
        <w:rPr>
          <w:rFonts w:ascii="Garamond" w:hAnsi="Garamond"/>
          <w:i/>
          <w:sz w:val="22"/>
          <w:szCs w:val="22"/>
        </w:rPr>
        <w:t>(2) A jogszabály tervezetének indokolásában tájékoztatást kell adni a javasolt szabályozás és az európai uniós jogból eredő kötelezettségek összhangjáról, valamint a </w:t>
      </w:r>
      <w:hyperlink r:id="rId8" w:anchor="sid54272" w:history="1">
        <w:r w:rsidRPr="0074006B">
          <w:rPr>
            <w:rStyle w:val="Hiperhivatkozs"/>
            <w:rFonts w:ascii="Garamond" w:hAnsi="Garamond"/>
            <w:i/>
            <w:color w:val="auto"/>
            <w:sz w:val="22"/>
            <w:szCs w:val="22"/>
            <w:u w:val="none"/>
          </w:rPr>
          <w:t>20.§</w:t>
        </w:r>
      </w:hyperlink>
      <w:r w:rsidRPr="0074006B">
        <w:rPr>
          <w:rFonts w:ascii="Garamond" w:hAnsi="Garamond"/>
          <w:i/>
          <w:sz w:val="22"/>
          <w:szCs w:val="22"/>
        </w:rPr>
        <w:t> szerinti egyeztetési kötelezettségről.”</w:t>
      </w:r>
    </w:p>
    <w:p w:rsidR="00A04106" w:rsidRPr="0074006B" w:rsidRDefault="00A04106" w:rsidP="00E50BA7">
      <w:pPr>
        <w:jc w:val="both"/>
        <w:rPr>
          <w:rFonts w:ascii="Garamond" w:hAnsi="Garamond"/>
          <w:sz w:val="22"/>
          <w:szCs w:val="22"/>
        </w:rPr>
      </w:pPr>
    </w:p>
    <w:p w:rsidR="00E50BA7" w:rsidRPr="0074006B" w:rsidRDefault="00E50BA7" w:rsidP="00E50BA7">
      <w:pPr>
        <w:jc w:val="both"/>
        <w:rPr>
          <w:rFonts w:ascii="Garamond" w:hAnsi="Garamond"/>
          <w:sz w:val="22"/>
          <w:szCs w:val="22"/>
        </w:rPr>
      </w:pPr>
      <w:r w:rsidRPr="0074006B">
        <w:rPr>
          <w:rFonts w:ascii="Garamond" w:hAnsi="Garamond"/>
          <w:sz w:val="22"/>
          <w:szCs w:val="22"/>
        </w:rPr>
        <w:t>A helyi adókról szóló 1900. évi C. törvény (továbbiakban: Htv.) 6.§ rendelkezése alapján az Önkormányzat adó megállapítási joga kiterjed arra, hogy a helyi adó mértékét a helyi sajátosságokhoz, az önkormányzat gazdálkodási követelményeihez és az adóalanyok teherviselő képességeihez igazodóan – a törvényben meghatározott felső (adómaximum) határokra figyelemmel – megállapítsa.</w:t>
      </w:r>
    </w:p>
    <w:p w:rsidR="00E50BA7" w:rsidRPr="0074006B" w:rsidRDefault="00E50BA7" w:rsidP="00E50BA7">
      <w:pPr>
        <w:jc w:val="both"/>
        <w:rPr>
          <w:rFonts w:ascii="Garamond" w:hAnsi="Garamond"/>
          <w:sz w:val="22"/>
          <w:szCs w:val="22"/>
        </w:rPr>
      </w:pPr>
      <w:r w:rsidRPr="0074006B">
        <w:rPr>
          <w:rFonts w:ascii="Garamond" w:hAnsi="Garamond"/>
          <w:sz w:val="22"/>
          <w:szCs w:val="22"/>
        </w:rPr>
        <w:t>A rendelettervezet a településen ez</w:t>
      </w:r>
      <w:r w:rsidR="005D3E8E">
        <w:rPr>
          <w:rFonts w:ascii="Garamond" w:hAnsi="Garamond"/>
          <w:sz w:val="22"/>
          <w:szCs w:val="22"/>
        </w:rPr>
        <w:t xml:space="preserve"> </w:t>
      </w:r>
      <w:r w:rsidRPr="0074006B">
        <w:rPr>
          <w:rFonts w:ascii="Garamond" w:hAnsi="Garamond"/>
          <w:sz w:val="22"/>
          <w:szCs w:val="22"/>
        </w:rPr>
        <w:t xml:space="preserve">idáig bevezetett </w:t>
      </w:r>
      <w:r w:rsidR="005D3E8E">
        <w:rPr>
          <w:rFonts w:ascii="Garamond" w:hAnsi="Garamond"/>
          <w:sz w:val="22"/>
          <w:szCs w:val="22"/>
        </w:rPr>
        <w:t>telekadó</w:t>
      </w:r>
      <w:r w:rsidR="00A04106" w:rsidRPr="0074006B">
        <w:rPr>
          <w:rFonts w:ascii="Garamond" w:hAnsi="Garamond"/>
          <w:sz w:val="22"/>
          <w:szCs w:val="22"/>
        </w:rPr>
        <w:t xml:space="preserve"> adó </w:t>
      </w:r>
      <w:r w:rsidR="005D3E8E">
        <w:rPr>
          <w:rFonts w:ascii="Garamond" w:hAnsi="Garamond"/>
          <w:sz w:val="22"/>
          <w:szCs w:val="22"/>
        </w:rPr>
        <w:t>mentességi körét változtatja, egészíti ki.</w:t>
      </w:r>
    </w:p>
    <w:p w:rsidR="00E50BA7" w:rsidRPr="0074006B" w:rsidRDefault="00E50BA7" w:rsidP="00E50BA7">
      <w:pPr>
        <w:pStyle w:val="NormlWeb"/>
        <w:spacing w:before="0" w:beforeAutospacing="0" w:after="0" w:afterAutospacing="0"/>
        <w:ind w:right="176" w:firstLine="708"/>
        <w:jc w:val="center"/>
        <w:rPr>
          <w:rFonts w:ascii="Garamond" w:hAnsi="Garamond"/>
          <w:b/>
          <w:sz w:val="22"/>
          <w:szCs w:val="22"/>
        </w:rPr>
      </w:pPr>
    </w:p>
    <w:p w:rsidR="00E50BA7" w:rsidRPr="0074006B" w:rsidRDefault="00E50BA7" w:rsidP="00E50BA7">
      <w:pPr>
        <w:pStyle w:val="NormlWeb"/>
        <w:spacing w:before="0" w:beforeAutospacing="0" w:after="0" w:afterAutospacing="0"/>
        <w:ind w:right="176" w:firstLine="708"/>
        <w:jc w:val="center"/>
        <w:rPr>
          <w:rFonts w:ascii="Garamond" w:hAnsi="Garamond"/>
          <w:b/>
          <w:sz w:val="22"/>
          <w:szCs w:val="22"/>
        </w:rPr>
      </w:pPr>
    </w:p>
    <w:p w:rsidR="00E50BA7" w:rsidRPr="0074006B" w:rsidRDefault="00CC0BAC" w:rsidP="00E50BA7">
      <w:pPr>
        <w:suppressAutoHyphens/>
        <w:ind w:left="283" w:hanging="283"/>
        <w:jc w:val="center"/>
        <w:rPr>
          <w:rFonts w:ascii="Garamond" w:hAnsi="Garamond"/>
          <w:b/>
          <w:sz w:val="22"/>
          <w:szCs w:val="22"/>
          <w:lang w:eastAsia="ar-SA"/>
        </w:rPr>
      </w:pPr>
      <w:r w:rsidRPr="0074006B">
        <w:rPr>
          <w:rFonts w:ascii="Garamond" w:hAnsi="Garamond"/>
          <w:b/>
          <w:sz w:val="22"/>
          <w:szCs w:val="22"/>
          <w:lang w:eastAsia="ar-SA"/>
        </w:rPr>
        <w:t>Ábrahámhegy Község</w:t>
      </w:r>
      <w:r w:rsidR="00E50BA7" w:rsidRPr="0074006B">
        <w:rPr>
          <w:rFonts w:ascii="Garamond" w:hAnsi="Garamond"/>
          <w:b/>
          <w:sz w:val="22"/>
          <w:szCs w:val="22"/>
          <w:lang w:eastAsia="ar-SA"/>
        </w:rPr>
        <w:t xml:space="preserve"> Önkormányzata Képviselő-testületének</w:t>
      </w:r>
    </w:p>
    <w:p w:rsidR="00E50BA7" w:rsidRPr="0074006B" w:rsidRDefault="00E50BA7" w:rsidP="00E50BA7">
      <w:pPr>
        <w:jc w:val="center"/>
        <w:rPr>
          <w:rFonts w:ascii="Garamond" w:hAnsi="Garamond"/>
          <w:sz w:val="22"/>
          <w:szCs w:val="22"/>
        </w:rPr>
      </w:pPr>
      <w:r w:rsidRPr="0074006B">
        <w:rPr>
          <w:rFonts w:ascii="Garamond" w:hAnsi="Garamond"/>
          <w:b/>
          <w:sz w:val="22"/>
          <w:szCs w:val="22"/>
        </w:rPr>
        <w:t>…/2015. (XI.….) önkormányzati rendelete</w:t>
      </w:r>
    </w:p>
    <w:p w:rsidR="00E50BA7" w:rsidRPr="0074006B" w:rsidRDefault="00E50BA7" w:rsidP="00E50BA7">
      <w:pPr>
        <w:pStyle w:val="NormlWeb"/>
        <w:spacing w:before="0" w:beforeAutospacing="0" w:after="0" w:afterAutospacing="0"/>
        <w:ind w:right="176"/>
        <w:jc w:val="center"/>
        <w:rPr>
          <w:rFonts w:ascii="Garamond" w:hAnsi="Garamond"/>
          <w:b/>
          <w:bCs/>
          <w:sz w:val="22"/>
          <w:szCs w:val="22"/>
        </w:rPr>
      </w:pPr>
      <w:r w:rsidRPr="0074006B">
        <w:rPr>
          <w:rFonts w:ascii="Garamond" w:hAnsi="Garamond"/>
          <w:b/>
          <w:bCs/>
          <w:sz w:val="22"/>
          <w:szCs w:val="22"/>
        </w:rPr>
        <w:t xml:space="preserve">a helyi adókról szóló </w:t>
      </w:r>
      <w:r w:rsidR="00CC0BAC" w:rsidRPr="0074006B">
        <w:rPr>
          <w:rFonts w:ascii="Garamond" w:hAnsi="Garamond"/>
          <w:b/>
          <w:bCs/>
          <w:sz w:val="22"/>
          <w:szCs w:val="22"/>
        </w:rPr>
        <w:t>9/2014.(</w:t>
      </w:r>
      <w:r w:rsidRPr="0074006B">
        <w:rPr>
          <w:rFonts w:ascii="Garamond" w:hAnsi="Garamond"/>
          <w:b/>
          <w:bCs/>
          <w:sz w:val="22"/>
          <w:szCs w:val="22"/>
        </w:rPr>
        <w:t>X.</w:t>
      </w:r>
      <w:r w:rsidR="00CC0BAC" w:rsidRPr="0074006B">
        <w:rPr>
          <w:rFonts w:ascii="Garamond" w:hAnsi="Garamond"/>
          <w:b/>
          <w:bCs/>
          <w:sz w:val="22"/>
          <w:szCs w:val="22"/>
        </w:rPr>
        <w:t>08</w:t>
      </w:r>
      <w:r w:rsidRPr="0074006B">
        <w:rPr>
          <w:rFonts w:ascii="Garamond" w:hAnsi="Garamond"/>
          <w:b/>
          <w:bCs/>
          <w:sz w:val="22"/>
          <w:szCs w:val="22"/>
        </w:rPr>
        <w:t>.) önkormányzati rendelet módosításáról</w:t>
      </w:r>
    </w:p>
    <w:p w:rsidR="00E50BA7" w:rsidRPr="0074006B" w:rsidRDefault="00E50BA7" w:rsidP="00E50BA7">
      <w:pPr>
        <w:jc w:val="both"/>
        <w:rPr>
          <w:rFonts w:ascii="Garamond" w:hAnsi="Garamond"/>
          <w:b/>
          <w:sz w:val="22"/>
          <w:szCs w:val="22"/>
        </w:rPr>
      </w:pPr>
    </w:p>
    <w:p w:rsidR="00E50BA7" w:rsidRPr="0074006B" w:rsidRDefault="0074006B" w:rsidP="00E50BA7">
      <w:pPr>
        <w:jc w:val="center"/>
        <w:rPr>
          <w:rFonts w:ascii="Garamond" w:hAnsi="Garamond"/>
          <w:sz w:val="22"/>
          <w:szCs w:val="22"/>
        </w:rPr>
      </w:pPr>
      <w:r w:rsidRPr="0074006B">
        <w:rPr>
          <w:rFonts w:ascii="Garamond" w:hAnsi="Garamond"/>
          <w:sz w:val="22"/>
          <w:szCs w:val="22"/>
        </w:rPr>
        <w:t>Ábrahámhegy Község</w:t>
      </w:r>
      <w:r w:rsidR="00E50BA7" w:rsidRPr="0074006B">
        <w:rPr>
          <w:rFonts w:ascii="Garamond" w:hAnsi="Garamond"/>
          <w:sz w:val="22"/>
          <w:szCs w:val="22"/>
        </w:rPr>
        <w:t xml:space="preserve"> Önkormányzatának Képviselő-testülete </w:t>
      </w:r>
    </w:p>
    <w:p w:rsidR="00E50BA7" w:rsidRPr="0074006B" w:rsidRDefault="00E50BA7" w:rsidP="00E50BA7">
      <w:pPr>
        <w:jc w:val="center"/>
        <w:rPr>
          <w:rFonts w:ascii="Garamond" w:hAnsi="Garamond"/>
          <w:sz w:val="22"/>
          <w:szCs w:val="22"/>
        </w:rPr>
      </w:pPr>
      <w:r w:rsidRPr="0074006B">
        <w:rPr>
          <w:rFonts w:ascii="Garamond" w:hAnsi="Garamond"/>
          <w:sz w:val="22"/>
          <w:szCs w:val="22"/>
        </w:rPr>
        <w:t xml:space="preserve">a helyi adókról szóló 1990. évi C. törvény 1.§ (1) bekezdésében kapott felhatalmazás alapján, </w:t>
      </w:r>
    </w:p>
    <w:p w:rsidR="00E50BA7" w:rsidRPr="0074006B" w:rsidRDefault="00E50BA7" w:rsidP="00E50BA7">
      <w:pPr>
        <w:jc w:val="center"/>
        <w:rPr>
          <w:rFonts w:ascii="Garamond" w:hAnsi="Garamond"/>
          <w:sz w:val="22"/>
          <w:szCs w:val="22"/>
        </w:rPr>
      </w:pPr>
      <w:r w:rsidRPr="0074006B">
        <w:rPr>
          <w:rFonts w:ascii="Garamond" w:hAnsi="Garamond"/>
          <w:sz w:val="22"/>
          <w:szCs w:val="22"/>
        </w:rPr>
        <w:t>az Alaptörvény 32. cikk (1) bekezdés a) és h) pontjában, valamint a Magyarország helyi önkormányzatairól szóló 2011. évi CLXXXIX. törvény 13.§ (1) bekezdés 13. pontjában meghatározott feladatkörében eljárva a következőket rendeli el:</w:t>
      </w:r>
    </w:p>
    <w:p w:rsidR="00E50BA7" w:rsidRPr="0074006B" w:rsidRDefault="00E50BA7" w:rsidP="00E50BA7">
      <w:pPr>
        <w:jc w:val="both"/>
        <w:rPr>
          <w:rFonts w:ascii="Garamond" w:hAnsi="Garamond"/>
          <w:sz w:val="22"/>
          <w:szCs w:val="22"/>
        </w:rPr>
      </w:pPr>
    </w:p>
    <w:p w:rsidR="00CC0BAC" w:rsidRPr="0074006B" w:rsidRDefault="00A04106" w:rsidP="00A04106">
      <w:pPr>
        <w:ind w:left="705" w:hanging="705"/>
        <w:jc w:val="both"/>
        <w:rPr>
          <w:rFonts w:ascii="Garamond" w:hAnsi="Garamond" w:cs="Arial"/>
          <w:sz w:val="22"/>
          <w:szCs w:val="22"/>
        </w:rPr>
      </w:pPr>
      <w:r w:rsidRPr="0074006B">
        <w:rPr>
          <w:rFonts w:ascii="Garamond" w:hAnsi="Garamond"/>
          <w:sz w:val="22"/>
          <w:szCs w:val="22"/>
        </w:rPr>
        <w:t xml:space="preserve">1.§ </w:t>
      </w:r>
      <w:r w:rsidRPr="0074006B">
        <w:rPr>
          <w:rFonts w:ascii="Garamond" w:hAnsi="Garamond"/>
          <w:sz w:val="22"/>
          <w:szCs w:val="22"/>
        </w:rPr>
        <w:tab/>
      </w:r>
      <w:r w:rsidR="0074006B">
        <w:rPr>
          <w:rFonts w:ascii="Garamond" w:hAnsi="Garamond"/>
          <w:sz w:val="22"/>
          <w:szCs w:val="22"/>
        </w:rPr>
        <w:t>Ábrahámhegy Község</w:t>
      </w:r>
      <w:r w:rsidRPr="0074006B">
        <w:rPr>
          <w:rFonts w:ascii="Garamond" w:hAnsi="Garamond"/>
          <w:sz w:val="22"/>
          <w:szCs w:val="22"/>
        </w:rPr>
        <w:t xml:space="preserve"> Önkormányzata Képviselő-testületének </w:t>
      </w:r>
      <w:r w:rsidRPr="0074006B">
        <w:rPr>
          <w:rFonts w:ascii="Garamond" w:hAnsi="Garamond" w:cs="Times"/>
          <w:bCs/>
          <w:sz w:val="22"/>
          <w:szCs w:val="22"/>
        </w:rPr>
        <w:t xml:space="preserve">a helyi adókról szóló </w:t>
      </w:r>
      <w:r w:rsidR="0074006B">
        <w:rPr>
          <w:rFonts w:ascii="Garamond" w:hAnsi="Garamond" w:cs="Times"/>
          <w:bCs/>
          <w:sz w:val="22"/>
          <w:szCs w:val="22"/>
        </w:rPr>
        <w:t>9/2014.(</w:t>
      </w:r>
      <w:r w:rsidRPr="0074006B">
        <w:rPr>
          <w:rFonts w:ascii="Garamond" w:hAnsi="Garamond" w:cs="Times"/>
          <w:bCs/>
          <w:sz w:val="22"/>
          <w:szCs w:val="22"/>
        </w:rPr>
        <w:t>X.</w:t>
      </w:r>
      <w:r w:rsidR="0074006B">
        <w:rPr>
          <w:rFonts w:ascii="Garamond" w:hAnsi="Garamond" w:cs="Times"/>
          <w:bCs/>
          <w:sz w:val="22"/>
          <w:szCs w:val="22"/>
        </w:rPr>
        <w:t>08</w:t>
      </w:r>
      <w:r w:rsidRPr="0074006B">
        <w:rPr>
          <w:rFonts w:ascii="Garamond" w:hAnsi="Garamond" w:cs="Times"/>
          <w:bCs/>
          <w:sz w:val="22"/>
          <w:szCs w:val="22"/>
        </w:rPr>
        <w:t>.) önkormányzati rendelete</w:t>
      </w:r>
      <w:r w:rsidRPr="0074006B">
        <w:rPr>
          <w:rFonts w:ascii="Garamond" w:hAnsi="Garamond" w:cs="Arial"/>
          <w:sz w:val="22"/>
          <w:szCs w:val="22"/>
        </w:rPr>
        <w:t xml:space="preserve"> </w:t>
      </w:r>
      <w:r w:rsidR="00CC0BAC" w:rsidRPr="0074006B">
        <w:rPr>
          <w:rFonts w:ascii="Garamond" w:hAnsi="Garamond" w:cs="Arial"/>
          <w:sz w:val="22"/>
          <w:szCs w:val="22"/>
        </w:rPr>
        <w:t>3.§ (3) bekezdése a következő c) ponttal egészül ki:</w:t>
      </w:r>
    </w:p>
    <w:p w:rsidR="00A04106" w:rsidRPr="0074006B" w:rsidRDefault="00A04106" w:rsidP="00A04106">
      <w:pPr>
        <w:ind w:left="709" w:hanging="4"/>
        <w:jc w:val="both"/>
        <w:rPr>
          <w:rFonts w:ascii="Garamond" w:hAnsi="Garamond" w:cs="Times"/>
          <w:i/>
          <w:sz w:val="22"/>
          <w:szCs w:val="22"/>
        </w:rPr>
      </w:pPr>
      <w:r w:rsidRPr="0074006B">
        <w:rPr>
          <w:rFonts w:ascii="Garamond" w:hAnsi="Garamond" w:cs="Times"/>
          <w:bCs/>
          <w:i/>
          <w:sz w:val="22"/>
          <w:szCs w:val="22"/>
        </w:rPr>
        <w:t>“</w:t>
      </w:r>
      <w:r w:rsidR="00CC0BAC" w:rsidRPr="0074006B">
        <w:rPr>
          <w:rFonts w:ascii="Garamond" w:hAnsi="Garamond" w:cs="Times"/>
          <w:bCs/>
          <w:i/>
          <w:sz w:val="22"/>
          <w:szCs w:val="22"/>
        </w:rPr>
        <w:t xml:space="preserve">c) </w:t>
      </w:r>
      <w:r w:rsidR="00F64E38">
        <w:rPr>
          <w:rFonts w:ascii="Garamond" w:hAnsi="Garamond"/>
          <w:i/>
          <w:sz w:val="22"/>
          <w:szCs w:val="22"/>
        </w:rPr>
        <w:t>A beépítetlen</w:t>
      </w:r>
      <w:bookmarkStart w:id="1" w:name="_GoBack"/>
      <w:bookmarkEnd w:id="1"/>
      <w:r w:rsidR="00CC0BAC" w:rsidRPr="0074006B">
        <w:rPr>
          <w:rFonts w:ascii="Garamond" w:hAnsi="Garamond"/>
          <w:i/>
          <w:sz w:val="22"/>
          <w:szCs w:val="22"/>
        </w:rPr>
        <w:t>, gondozott ingatlan</w:t>
      </w:r>
      <w:r w:rsidRPr="0074006B">
        <w:rPr>
          <w:rFonts w:ascii="Garamond" w:hAnsi="Garamond" w:cs="Times"/>
          <w:i/>
          <w:sz w:val="22"/>
          <w:szCs w:val="22"/>
        </w:rPr>
        <w:t>.”</w:t>
      </w:r>
    </w:p>
    <w:p w:rsidR="00A04106" w:rsidRPr="0074006B" w:rsidRDefault="00363BAA" w:rsidP="00A04106">
      <w:pPr>
        <w:pStyle w:val="Nincstrkz"/>
        <w:ind w:left="705" w:hanging="705"/>
        <w:rPr>
          <w:rFonts w:ascii="Garamond" w:hAnsi="Garamond"/>
          <w:sz w:val="22"/>
          <w:szCs w:val="22"/>
        </w:rPr>
      </w:pPr>
      <w:r w:rsidRPr="0074006B">
        <w:rPr>
          <w:rFonts w:ascii="Garamond" w:hAnsi="Garamond"/>
          <w:sz w:val="22"/>
          <w:szCs w:val="22"/>
        </w:rPr>
        <w:t>2</w:t>
      </w:r>
      <w:r w:rsidR="00A04106" w:rsidRPr="0074006B">
        <w:rPr>
          <w:rFonts w:ascii="Garamond" w:hAnsi="Garamond"/>
          <w:sz w:val="22"/>
          <w:szCs w:val="22"/>
        </w:rPr>
        <w:t xml:space="preserve">.§ </w:t>
      </w:r>
      <w:r w:rsidR="00A04106" w:rsidRPr="0074006B">
        <w:rPr>
          <w:rFonts w:ascii="Garamond" w:hAnsi="Garamond"/>
          <w:sz w:val="22"/>
          <w:szCs w:val="22"/>
        </w:rPr>
        <w:tab/>
        <w:t>Ez a rendelet 2016. január 1. napján lép hatályba és a hatályba lépést követő napon hatályát veszti.</w:t>
      </w:r>
    </w:p>
    <w:p w:rsidR="00E50BA7" w:rsidRPr="0074006B" w:rsidRDefault="00E50BA7" w:rsidP="00E50BA7">
      <w:pPr>
        <w:rPr>
          <w:rFonts w:ascii="Garamond" w:hAnsi="Garamond"/>
          <w:b/>
          <w:sz w:val="22"/>
          <w:szCs w:val="22"/>
        </w:rPr>
      </w:pPr>
    </w:p>
    <w:p w:rsidR="00363BAA" w:rsidRPr="0074006B" w:rsidRDefault="00363BAA" w:rsidP="00E50BA7">
      <w:pPr>
        <w:rPr>
          <w:rFonts w:ascii="Garamond" w:hAnsi="Garamond"/>
          <w:b/>
          <w:sz w:val="22"/>
          <w:szCs w:val="22"/>
        </w:rPr>
      </w:pPr>
    </w:p>
    <w:tbl>
      <w:tblPr>
        <w:tblW w:w="0" w:type="auto"/>
        <w:tblLook w:val="04A0" w:firstRow="1" w:lastRow="0" w:firstColumn="1" w:lastColumn="0" w:noHBand="0" w:noVBand="1"/>
      </w:tblPr>
      <w:tblGrid>
        <w:gridCol w:w="4561"/>
        <w:gridCol w:w="4511"/>
      </w:tblGrid>
      <w:tr w:rsidR="00A04106" w:rsidRPr="0074006B" w:rsidTr="009A4422">
        <w:tc>
          <w:tcPr>
            <w:tcW w:w="4663" w:type="dxa"/>
          </w:tcPr>
          <w:p w:rsidR="00E50BA7" w:rsidRPr="0074006B" w:rsidRDefault="00CC0BAC" w:rsidP="009A4422">
            <w:pPr>
              <w:jc w:val="center"/>
              <w:rPr>
                <w:rFonts w:ascii="Garamond" w:hAnsi="Garamond"/>
                <w:sz w:val="22"/>
                <w:szCs w:val="22"/>
              </w:rPr>
            </w:pPr>
            <w:r w:rsidRPr="0074006B">
              <w:rPr>
                <w:rFonts w:ascii="Garamond" w:hAnsi="Garamond"/>
                <w:sz w:val="22"/>
                <w:szCs w:val="22"/>
              </w:rPr>
              <w:t xml:space="preserve">Vella Ferenc Zsolt </w:t>
            </w:r>
            <w:r w:rsidR="00A04106" w:rsidRPr="0074006B">
              <w:rPr>
                <w:rFonts w:ascii="Garamond" w:hAnsi="Garamond"/>
                <w:sz w:val="22"/>
                <w:szCs w:val="22"/>
              </w:rPr>
              <w:t>sk.</w:t>
            </w:r>
          </w:p>
          <w:p w:rsidR="00E50BA7" w:rsidRPr="0074006B" w:rsidRDefault="00E50BA7" w:rsidP="009A4422">
            <w:pPr>
              <w:jc w:val="center"/>
              <w:rPr>
                <w:rFonts w:ascii="Garamond" w:hAnsi="Garamond"/>
                <w:sz w:val="22"/>
                <w:szCs w:val="22"/>
              </w:rPr>
            </w:pPr>
            <w:r w:rsidRPr="0074006B">
              <w:rPr>
                <w:rFonts w:ascii="Garamond" w:hAnsi="Garamond"/>
                <w:sz w:val="22"/>
                <w:szCs w:val="22"/>
              </w:rPr>
              <w:t>polgármester</w:t>
            </w:r>
          </w:p>
        </w:tc>
        <w:tc>
          <w:tcPr>
            <w:tcW w:w="4625" w:type="dxa"/>
          </w:tcPr>
          <w:p w:rsidR="00E50BA7" w:rsidRPr="0074006B" w:rsidRDefault="00E50BA7" w:rsidP="009A4422">
            <w:pPr>
              <w:jc w:val="center"/>
              <w:rPr>
                <w:rFonts w:ascii="Garamond" w:hAnsi="Garamond"/>
                <w:sz w:val="22"/>
                <w:szCs w:val="22"/>
              </w:rPr>
            </w:pPr>
            <w:r w:rsidRPr="0074006B">
              <w:rPr>
                <w:rFonts w:ascii="Garamond" w:hAnsi="Garamond"/>
                <w:sz w:val="22"/>
                <w:szCs w:val="22"/>
              </w:rPr>
              <w:t>Wolf Viktória</w:t>
            </w:r>
            <w:r w:rsidR="00A04106" w:rsidRPr="0074006B">
              <w:rPr>
                <w:rFonts w:ascii="Garamond" w:hAnsi="Garamond"/>
                <w:sz w:val="22"/>
                <w:szCs w:val="22"/>
              </w:rPr>
              <w:t xml:space="preserve"> sk.</w:t>
            </w:r>
          </w:p>
          <w:p w:rsidR="00E50BA7" w:rsidRPr="0074006B" w:rsidRDefault="00E50BA7" w:rsidP="009A4422">
            <w:pPr>
              <w:jc w:val="center"/>
              <w:rPr>
                <w:rFonts w:ascii="Garamond" w:hAnsi="Garamond"/>
                <w:sz w:val="22"/>
                <w:szCs w:val="22"/>
              </w:rPr>
            </w:pPr>
            <w:r w:rsidRPr="0074006B">
              <w:rPr>
                <w:rFonts w:ascii="Garamond" w:hAnsi="Garamond"/>
                <w:sz w:val="22"/>
                <w:szCs w:val="22"/>
              </w:rPr>
              <w:t>jegyző</w:t>
            </w:r>
          </w:p>
        </w:tc>
      </w:tr>
    </w:tbl>
    <w:p w:rsidR="00E50BA7" w:rsidRPr="0074006B" w:rsidRDefault="00E50BA7" w:rsidP="00E50BA7">
      <w:pPr>
        <w:rPr>
          <w:rFonts w:ascii="Garamond" w:hAnsi="Garamond"/>
          <w:b/>
          <w:sz w:val="22"/>
          <w:szCs w:val="22"/>
        </w:rPr>
      </w:pPr>
    </w:p>
    <w:p w:rsidR="00E50BA7" w:rsidRPr="0074006B" w:rsidRDefault="00E50BA7" w:rsidP="00E50BA7">
      <w:pPr>
        <w:rPr>
          <w:rFonts w:ascii="Garamond" w:hAnsi="Garamond"/>
          <w:sz w:val="22"/>
          <w:szCs w:val="22"/>
        </w:rPr>
      </w:pPr>
      <w:r w:rsidRPr="0074006B">
        <w:rPr>
          <w:rFonts w:ascii="Garamond" w:hAnsi="Garamond"/>
          <w:sz w:val="22"/>
          <w:szCs w:val="22"/>
        </w:rPr>
        <w:t>Kihirdetési záradék:</w:t>
      </w:r>
    </w:p>
    <w:p w:rsidR="00E50BA7" w:rsidRPr="0074006B" w:rsidRDefault="00E50BA7" w:rsidP="00E50BA7">
      <w:pPr>
        <w:rPr>
          <w:rFonts w:ascii="Garamond" w:hAnsi="Garamond"/>
          <w:sz w:val="22"/>
          <w:szCs w:val="22"/>
        </w:rPr>
      </w:pPr>
      <w:r w:rsidRPr="0074006B">
        <w:rPr>
          <w:rFonts w:ascii="Garamond" w:hAnsi="Garamond"/>
          <w:sz w:val="22"/>
          <w:szCs w:val="22"/>
        </w:rPr>
        <w:t xml:space="preserve">A rendelet 2015. </w:t>
      </w:r>
      <w:r w:rsidR="00A04106" w:rsidRPr="0074006B">
        <w:rPr>
          <w:rFonts w:ascii="Garamond" w:hAnsi="Garamond"/>
          <w:sz w:val="22"/>
          <w:szCs w:val="22"/>
        </w:rPr>
        <w:t>november</w:t>
      </w:r>
      <w:r w:rsidRPr="0074006B">
        <w:rPr>
          <w:rFonts w:ascii="Garamond" w:hAnsi="Garamond"/>
          <w:sz w:val="22"/>
          <w:szCs w:val="22"/>
        </w:rPr>
        <w:t xml:space="preserve"> …. napján kihirdetésre került.</w:t>
      </w:r>
    </w:p>
    <w:p w:rsidR="00E50BA7" w:rsidRPr="0074006B" w:rsidRDefault="00E50BA7" w:rsidP="00E50BA7">
      <w:pPr>
        <w:rPr>
          <w:rFonts w:ascii="Garamond" w:hAnsi="Garamond"/>
          <w:sz w:val="22"/>
          <w:szCs w:val="22"/>
        </w:rPr>
      </w:pPr>
    </w:p>
    <w:p w:rsidR="00363BAA" w:rsidRPr="0074006B" w:rsidRDefault="00363BAA" w:rsidP="00E50BA7">
      <w:pPr>
        <w:rPr>
          <w:rFonts w:ascii="Garamond" w:hAnsi="Garamond"/>
          <w:sz w:val="22"/>
          <w:szCs w:val="22"/>
        </w:rPr>
      </w:pPr>
    </w:p>
    <w:tbl>
      <w:tblPr>
        <w:tblW w:w="0" w:type="auto"/>
        <w:tblLook w:val="04A0" w:firstRow="1" w:lastRow="0" w:firstColumn="1" w:lastColumn="0" w:noHBand="0" w:noVBand="1"/>
      </w:tblPr>
      <w:tblGrid>
        <w:gridCol w:w="4493"/>
        <w:gridCol w:w="4579"/>
      </w:tblGrid>
      <w:tr w:rsidR="00A04106" w:rsidRPr="0074006B" w:rsidTr="009A4422">
        <w:tc>
          <w:tcPr>
            <w:tcW w:w="5102" w:type="dxa"/>
          </w:tcPr>
          <w:p w:rsidR="00E50BA7" w:rsidRPr="0074006B" w:rsidRDefault="00E50BA7" w:rsidP="009A4422">
            <w:pPr>
              <w:jc w:val="center"/>
              <w:rPr>
                <w:rFonts w:ascii="Garamond" w:hAnsi="Garamond"/>
                <w:sz w:val="22"/>
                <w:szCs w:val="22"/>
              </w:rPr>
            </w:pPr>
          </w:p>
        </w:tc>
        <w:tc>
          <w:tcPr>
            <w:tcW w:w="5102" w:type="dxa"/>
          </w:tcPr>
          <w:p w:rsidR="00E50BA7" w:rsidRPr="0074006B" w:rsidRDefault="00E50BA7" w:rsidP="009A4422">
            <w:pPr>
              <w:jc w:val="center"/>
              <w:rPr>
                <w:rFonts w:ascii="Garamond" w:hAnsi="Garamond"/>
                <w:sz w:val="22"/>
                <w:szCs w:val="22"/>
              </w:rPr>
            </w:pPr>
            <w:r w:rsidRPr="0074006B">
              <w:rPr>
                <w:rFonts w:ascii="Garamond" w:hAnsi="Garamond"/>
                <w:sz w:val="22"/>
                <w:szCs w:val="22"/>
              </w:rPr>
              <w:t>Wolf Viktória</w:t>
            </w:r>
            <w:r w:rsidR="00A04106" w:rsidRPr="0074006B">
              <w:rPr>
                <w:rFonts w:ascii="Garamond" w:hAnsi="Garamond"/>
                <w:sz w:val="22"/>
                <w:szCs w:val="22"/>
              </w:rPr>
              <w:t xml:space="preserve"> sk.</w:t>
            </w:r>
          </w:p>
          <w:p w:rsidR="00E50BA7" w:rsidRPr="0074006B" w:rsidRDefault="00E50BA7" w:rsidP="009A4422">
            <w:pPr>
              <w:jc w:val="center"/>
              <w:rPr>
                <w:rFonts w:ascii="Garamond" w:hAnsi="Garamond"/>
                <w:sz w:val="22"/>
                <w:szCs w:val="22"/>
              </w:rPr>
            </w:pPr>
            <w:r w:rsidRPr="0074006B">
              <w:rPr>
                <w:rFonts w:ascii="Garamond" w:hAnsi="Garamond"/>
                <w:sz w:val="22"/>
                <w:szCs w:val="22"/>
              </w:rPr>
              <w:t>jegyző</w:t>
            </w:r>
          </w:p>
        </w:tc>
      </w:tr>
    </w:tbl>
    <w:p w:rsidR="001F4BA3" w:rsidRPr="0074006B" w:rsidRDefault="001F4BA3">
      <w:pPr>
        <w:rPr>
          <w:rFonts w:ascii="Garamond" w:hAnsi="Garamond"/>
          <w:sz w:val="22"/>
          <w:szCs w:val="22"/>
        </w:rPr>
      </w:pPr>
    </w:p>
    <w:sectPr w:rsidR="001F4BA3" w:rsidRPr="0074006B" w:rsidSect="005D3E8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7D" w:rsidRDefault="006F547D" w:rsidP="00AA47EA">
      <w:r>
        <w:separator/>
      </w:r>
    </w:p>
  </w:endnote>
  <w:endnote w:type="continuationSeparator" w:id="0">
    <w:p w:rsidR="006F547D" w:rsidRDefault="006F547D" w:rsidP="00AA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altName w:val="Plantagenet Cherokee"/>
    <w:charset w:val="00"/>
    <w:family w:val="roman"/>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7D" w:rsidRDefault="006F547D" w:rsidP="00AA47EA">
      <w:r>
        <w:separator/>
      </w:r>
    </w:p>
  </w:footnote>
  <w:footnote w:type="continuationSeparator" w:id="0">
    <w:p w:rsidR="006F547D" w:rsidRDefault="006F547D" w:rsidP="00AA4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A6E46"/>
    <w:multiLevelType w:val="hybridMultilevel"/>
    <w:tmpl w:val="36DC210A"/>
    <w:lvl w:ilvl="0" w:tplc="040E000F">
      <w:start w:val="1"/>
      <w:numFmt w:val="decimal"/>
      <w:pStyle w:val="Cmsor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E876F6F"/>
    <w:multiLevelType w:val="hybridMultilevel"/>
    <w:tmpl w:val="04F80070"/>
    <w:lvl w:ilvl="0" w:tplc="0B04ECF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6265CD1"/>
    <w:multiLevelType w:val="hybridMultilevel"/>
    <w:tmpl w:val="CF86D6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6713164"/>
    <w:multiLevelType w:val="hybridMultilevel"/>
    <w:tmpl w:val="675A8402"/>
    <w:lvl w:ilvl="0" w:tplc="F7B8E436">
      <w:start w:val="5"/>
      <w:numFmt w:val="bullet"/>
      <w:lvlText w:val="-"/>
      <w:lvlJc w:val="left"/>
      <w:pPr>
        <w:ind w:left="720" w:hanging="360"/>
      </w:pPr>
      <w:rPr>
        <w:rFonts w:ascii="Garamond" w:eastAsia="Times New Roman" w:hAnsi="Garamond"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A7"/>
    <w:rsid w:val="000E6543"/>
    <w:rsid w:val="001F4BA3"/>
    <w:rsid w:val="00363BAA"/>
    <w:rsid w:val="005D3E8E"/>
    <w:rsid w:val="006F547D"/>
    <w:rsid w:val="0074006B"/>
    <w:rsid w:val="00A04106"/>
    <w:rsid w:val="00A2714C"/>
    <w:rsid w:val="00AA47EA"/>
    <w:rsid w:val="00CC0BAC"/>
    <w:rsid w:val="00E50BA7"/>
    <w:rsid w:val="00F64E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1F77-41BE-46E6-8B8F-01F22277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HAns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0BA7"/>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2714C"/>
    <w:pPr>
      <w:keepNext/>
      <w:numPr>
        <w:numId w:val="1"/>
      </w:numPr>
      <w:suppressAutoHyphens/>
      <w:jc w:val="center"/>
      <w:outlineLvl w:val="0"/>
    </w:pPr>
    <w:rPr>
      <w:b/>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E50BA7"/>
    <w:pPr>
      <w:spacing w:before="100" w:beforeAutospacing="1" w:after="100" w:afterAutospacing="1"/>
    </w:pPr>
  </w:style>
  <w:style w:type="table" w:styleId="Rcsostblzat">
    <w:name w:val="Table Grid"/>
    <w:basedOn w:val="Normltblzat"/>
    <w:uiPriority w:val="39"/>
    <w:rsid w:val="00E5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rsid w:val="00E50BA7"/>
    <w:pPr>
      <w:jc w:val="both"/>
    </w:pPr>
    <w:rPr>
      <w:szCs w:val="20"/>
    </w:rPr>
  </w:style>
  <w:style w:type="character" w:customStyle="1" w:styleId="Szvegtrzs2Char">
    <w:name w:val="Szövegtörzs 2 Char"/>
    <w:basedOn w:val="Bekezdsalapbettpusa"/>
    <w:link w:val="Szvegtrzs2"/>
    <w:rsid w:val="00E50BA7"/>
    <w:rPr>
      <w:rFonts w:ascii="Times New Roman" w:eastAsia="Times New Roman" w:hAnsi="Times New Roman" w:cs="Times New Roman"/>
      <w:sz w:val="24"/>
      <w:szCs w:val="20"/>
      <w:lang w:eastAsia="hu-HU"/>
    </w:rPr>
  </w:style>
  <w:style w:type="character" w:styleId="Hiperhivatkozs">
    <w:name w:val="Hyperlink"/>
    <w:rsid w:val="00A04106"/>
    <w:rPr>
      <w:color w:val="0000FF"/>
      <w:u w:val="single"/>
    </w:rPr>
  </w:style>
  <w:style w:type="paragraph" w:styleId="Nincstrkz">
    <w:name w:val="No Spacing"/>
    <w:qFormat/>
    <w:rsid w:val="00A04106"/>
    <w:pPr>
      <w:jc w:val="both"/>
    </w:pPr>
    <w:rPr>
      <w:rFonts w:ascii="Times New Roman" w:eastAsia="Times New Roman" w:hAnsi="Times New Roman" w:cs="Times New Roman"/>
      <w:sz w:val="24"/>
      <w:szCs w:val="24"/>
    </w:rPr>
  </w:style>
  <w:style w:type="paragraph" w:customStyle="1" w:styleId="FejezetCm">
    <w:name w:val="FejezetCím"/>
    <w:basedOn w:val="Norml"/>
    <w:rsid w:val="00A04106"/>
    <w:pPr>
      <w:keepNext/>
      <w:keepLines/>
      <w:spacing w:before="480" w:after="240"/>
      <w:jc w:val="center"/>
    </w:pPr>
    <w:rPr>
      <w:b/>
      <w:bCs/>
      <w:i/>
      <w:iCs/>
      <w:noProof/>
      <w:lang w:val="en-US" w:eastAsia="en-US"/>
    </w:rPr>
  </w:style>
  <w:style w:type="character" w:customStyle="1" w:styleId="Cmsor1Char">
    <w:name w:val="Címsor 1 Char"/>
    <w:basedOn w:val="Bekezdsalapbettpusa"/>
    <w:link w:val="Cmsor1"/>
    <w:rsid w:val="00A2714C"/>
    <w:rPr>
      <w:rFonts w:ascii="Times New Roman" w:eastAsia="Times New Roman" w:hAnsi="Times New Roman" w:cs="Times New Roman"/>
      <w:b/>
      <w:sz w:val="24"/>
      <w:szCs w:val="20"/>
      <w:lang w:eastAsia="ar-SA"/>
    </w:rPr>
  </w:style>
  <w:style w:type="paragraph" w:customStyle="1" w:styleId="CharCharCharChar">
    <w:name w:val="Char Char Char Char"/>
    <w:basedOn w:val="Norml"/>
    <w:rsid w:val="00A2714C"/>
    <w:pPr>
      <w:spacing w:after="160" w:line="240" w:lineRule="exact"/>
    </w:pPr>
    <w:rPr>
      <w:rFonts w:ascii="Verdana" w:hAnsi="Verdana"/>
      <w:sz w:val="20"/>
      <w:szCs w:val="20"/>
      <w:lang w:val="en-US" w:eastAsia="en-US"/>
    </w:rPr>
  </w:style>
  <w:style w:type="paragraph" w:styleId="Lbjegyzetszveg">
    <w:name w:val="footnote text"/>
    <w:basedOn w:val="Norml"/>
    <w:link w:val="LbjegyzetszvegChar"/>
    <w:uiPriority w:val="99"/>
    <w:unhideWhenUsed/>
    <w:rsid w:val="00AA47EA"/>
    <w:rPr>
      <w:sz w:val="20"/>
      <w:szCs w:val="20"/>
    </w:rPr>
  </w:style>
  <w:style w:type="character" w:customStyle="1" w:styleId="LbjegyzetszvegChar">
    <w:name w:val="Lábjegyzetszöveg Char"/>
    <w:basedOn w:val="Bekezdsalapbettpusa"/>
    <w:link w:val="Lbjegyzetszveg"/>
    <w:uiPriority w:val="99"/>
    <w:rsid w:val="00AA47EA"/>
    <w:rPr>
      <w:rFonts w:ascii="Times New Roman" w:eastAsia="Times New Roman" w:hAnsi="Times New Roman" w:cs="Times New Roman"/>
      <w:sz w:val="20"/>
      <w:szCs w:val="20"/>
      <w:lang w:eastAsia="hu-HU"/>
    </w:rPr>
  </w:style>
  <w:style w:type="character" w:styleId="Lbjegyzet-hivatkozs">
    <w:name w:val="footnote reference"/>
    <w:uiPriority w:val="99"/>
    <w:unhideWhenUsed/>
    <w:rsid w:val="00AA47EA"/>
    <w:rPr>
      <w:vertAlign w:val="superscript"/>
    </w:rPr>
  </w:style>
  <w:style w:type="paragraph" w:styleId="Buborkszveg">
    <w:name w:val="Balloon Text"/>
    <w:basedOn w:val="Norml"/>
    <w:link w:val="BuborkszvegChar"/>
    <w:uiPriority w:val="99"/>
    <w:semiHidden/>
    <w:unhideWhenUsed/>
    <w:rsid w:val="000E654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E6543"/>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en.hu/loadpage.php?dest=OISZ&amp;twhich=151828&amp;srcid=ol749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1248</Words>
  <Characters>8618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Hoffer Péter</dc:creator>
  <cp:keywords/>
  <dc:description/>
  <cp:lastModifiedBy>Iroda2</cp:lastModifiedBy>
  <cp:revision>5</cp:revision>
  <cp:lastPrinted>2015-11-23T15:21:00Z</cp:lastPrinted>
  <dcterms:created xsi:type="dcterms:W3CDTF">2015-11-18T12:56:00Z</dcterms:created>
  <dcterms:modified xsi:type="dcterms:W3CDTF">2015-11-24T11:34:00Z</dcterms:modified>
</cp:coreProperties>
</file>